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B88" w:rsidRPr="00275BAF" w:rsidRDefault="00032B88" w:rsidP="00032B88">
      <w:pPr>
        <w:keepNext/>
        <w:widowControl w:val="0"/>
        <w:tabs>
          <w:tab w:val="left" w:pos="7504"/>
        </w:tabs>
        <w:spacing w:before="120" w:after="120"/>
        <w:jc w:val="center"/>
        <w:rPr>
          <w:b/>
          <w:bCs/>
          <w:color w:val="000000"/>
          <w:szCs w:val="26"/>
        </w:rPr>
      </w:pPr>
      <w:r w:rsidRPr="00275BAF">
        <w:rPr>
          <w:b/>
          <w:bCs/>
          <w:color w:val="000000"/>
          <w:szCs w:val="26"/>
        </w:rPr>
        <w:t xml:space="preserve"> </w:t>
      </w:r>
      <w:r w:rsidRPr="00275BAF">
        <w:rPr>
          <w:b/>
          <w:bCs/>
          <w:noProof/>
          <w:color w:val="000000"/>
          <w:szCs w:val="26"/>
          <w:lang w:val="en-US" w:eastAsia="en-US"/>
        </w:rPr>
        <w:drawing>
          <wp:inline distT="0" distB="0" distL="0" distR="0">
            <wp:extent cx="1087755" cy="10877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87755" cy="1087755"/>
                    </a:xfrm>
                    <a:prstGeom prst="rect">
                      <a:avLst/>
                    </a:prstGeom>
                    <a:noFill/>
                    <a:ln w="9525">
                      <a:noFill/>
                      <a:miter lim="800000"/>
                      <a:headEnd/>
                      <a:tailEnd/>
                    </a:ln>
                  </pic:spPr>
                </pic:pic>
              </a:graphicData>
            </a:graphic>
          </wp:inline>
        </w:drawing>
      </w:r>
      <w:r w:rsidRPr="00275BAF">
        <w:rPr>
          <w:b/>
          <w:bCs/>
          <w:color w:val="000000"/>
          <w:szCs w:val="26"/>
        </w:rPr>
        <w:t xml:space="preserve">  </w:t>
      </w:r>
    </w:p>
    <w:p w:rsidR="00032B88" w:rsidRPr="00275BAF" w:rsidRDefault="00032B88" w:rsidP="00032B88">
      <w:pPr>
        <w:spacing w:before="120" w:after="120"/>
        <w:jc w:val="center"/>
      </w:pPr>
      <w:r w:rsidRPr="00275BAF">
        <w:t>CỘNG HÒA XÃ HỘI CHỦ NGHĨA VIỆT NAM</w:t>
      </w:r>
    </w:p>
    <w:p w:rsidR="00032B88" w:rsidRPr="00275BAF" w:rsidRDefault="00032B88" w:rsidP="00032B88">
      <w:pPr>
        <w:spacing w:before="120" w:after="120"/>
        <w:jc w:val="center"/>
      </w:pPr>
      <w:bookmarkStart w:id="0" w:name="_GoBack"/>
      <w:bookmarkEnd w:id="0"/>
    </w:p>
    <w:p w:rsidR="00032B88" w:rsidRPr="00275BAF" w:rsidRDefault="00032B88" w:rsidP="00032B88">
      <w:pPr>
        <w:spacing w:before="120" w:after="120"/>
        <w:jc w:val="center"/>
      </w:pPr>
    </w:p>
    <w:p w:rsidR="00032B88" w:rsidRPr="00275BAF" w:rsidRDefault="00032B88" w:rsidP="00032B88">
      <w:pPr>
        <w:pStyle w:val="Heading5"/>
        <w:spacing w:before="120" w:after="120"/>
        <w:rPr>
          <w:rFonts w:ascii="Times New Roman" w:hAnsi="Times New Roman"/>
          <w:szCs w:val="32"/>
        </w:rPr>
      </w:pPr>
    </w:p>
    <w:p w:rsidR="00032B88" w:rsidRPr="00275BAF" w:rsidRDefault="00032B88" w:rsidP="00032B88">
      <w:pPr>
        <w:spacing w:before="120" w:after="120"/>
        <w:jc w:val="center"/>
        <w:rPr>
          <w:b/>
          <w:sz w:val="32"/>
          <w:szCs w:val="32"/>
        </w:rPr>
      </w:pPr>
      <w:r w:rsidRPr="00275BAF">
        <w:rPr>
          <w:b/>
          <w:sz w:val="32"/>
          <w:szCs w:val="32"/>
        </w:rPr>
        <w:t>QCVN 61-MT:2016/BTNMT</w:t>
      </w:r>
    </w:p>
    <w:p w:rsidR="00032B88" w:rsidRPr="00275BAF" w:rsidRDefault="00032B88" w:rsidP="00032B88">
      <w:pPr>
        <w:spacing w:before="120" w:after="120"/>
        <w:jc w:val="center"/>
        <w:rPr>
          <w:szCs w:val="36"/>
        </w:rPr>
      </w:pPr>
    </w:p>
    <w:p w:rsidR="00032B88" w:rsidRPr="00275BAF" w:rsidRDefault="00032B88" w:rsidP="00032B88">
      <w:pPr>
        <w:spacing w:before="120" w:after="120"/>
        <w:jc w:val="center"/>
        <w:rPr>
          <w:szCs w:val="36"/>
        </w:rPr>
      </w:pPr>
    </w:p>
    <w:p w:rsidR="00032B88" w:rsidRPr="00275BAF" w:rsidRDefault="00032B88" w:rsidP="00032B88">
      <w:pPr>
        <w:spacing w:before="120" w:after="120" w:line="400" w:lineRule="exact"/>
        <w:jc w:val="center"/>
        <w:rPr>
          <w:b/>
          <w:spacing w:val="-12"/>
          <w:sz w:val="32"/>
          <w:szCs w:val="32"/>
        </w:rPr>
      </w:pPr>
      <w:r w:rsidRPr="00275BAF">
        <w:rPr>
          <w:b/>
          <w:sz w:val="32"/>
          <w:szCs w:val="32"/>
        </w:rPr>
        <w:t>QUY CHUẨN KỸ THUẬT QUỐC GIA</w:t>
      </w:r>
      <w:r w:rsidRPr="00275BAF">
        <w:rPr>
          <w:b/>
          <w:spacing w:val="-12"/>
          <w:sz w:val="32"/>
          <w:szCs w:val="32"/>
        </w:rPr>
        <w:br/>
        <w:t>VỀ LÒ ĐỐT CHẤT THẢI RẮN SINH HOẠT</w:t>
      </w:r>
    </w:p>
    <w:p w:rsidR="00032B88" w:rsidRPr="00275BAF" w:rsidRDefault="00032B88" w:rsidP="00032B88">
      <w:pPr>
        <w:pStyle w:val="BodyText3"/>
        <w:spacing w:before="120" w:after="120" w:line="400" w:lineRule="exact"/>
        <w:rPr>
          <w:rFonts w:ascii="Times New Roman" w:hAnsi="Times New Roman"/>
          <w:b/>
          <w:spacing w:val="12"/>
          <w:szCs w:val="32"/>
          <w:lang w:val="vi-VN"/>
        </w:rPr>
      </w:pPr>
      <w:r w:rsidRPr="00275BAF">
        <w:rPr>
          <w:rFonts w:ascii="Times New Roman" w:hAnsi="Times New Roman"/>
          <w:b/>
          <w:spacing w:val="12"/>
          <w:szCs w:val="32"/>
        </w:rPr>
        <w:t xml:space="preserve">National Technical Regulation </w:t>
      </w:r>
      <w:r w:rsidRPr="00275BAF">
        <w:rPr>
          <w:rFonts w:ascii="Times New Roman" w:hAnsi="Times New Roman"/>
          <w:b/>
          <w:spacing w:val="12"/>
          <w:szCs w:val="32"/>
        </w:rPr>
        <w:br/>
        <w:t xml:space="preserve">on </w:t>
      </w:r>
      <w:r w:rsidRPr="00275BAF">
        <w:rPr>
          <w:rFonts w:ascii="Times New Roman" w:hAnsi="Times New Roman"/>
          <w:b/>
          <w:spacing w:val="12"/>
          <w:szCs w:val="32"/>
          <w:lang w:val="vi-VN"/>
        </w:rPr>
        <w:t>Domestic Solid Waste Incinerator</w:t>
      </w: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pStyle w:val="HANOI-O"/>
        <w:spacing w:before="120" w:after="120" w:line="240" w:lineRule="auto"/>
        <w:rPr>
          <w:rFonts w:ascii="Times New Roman" w:hAnsi="Times New Roman"/>
          <w:bCs/>
          <w:spacing w:val="0"/>
          <w:kern w:val="0"/>
          <w:szCs w:val="24"/>
          <w:lang w:val="vi-VN"/>
        </w:rPr>
      </w:pPr>
      <w:r w:rsidRPr="00275BAF">
        <w:rPr>
          <w:rFonts w:ascii="Times New Roman" w:hAnsi="Times New Roman"/>
          <w:bCs/>
          <w:spacing w:val="0"/>
          <w:kern w:val="0"/>
          <w:szCs w:val="24"/>
        </w:rPr>
        <w:t>HÀ NỘI - 2016</w:t>
      </w:r>
    </w:p>
    <w:p w:rsidR="00032B88" w:rsidRPr="00275BAF" w:rsidRDefault="00032B88" w:rsidP="00032B88">
      <w:pPr>
        <w:spacing w:before="120" w:after="120"/>
        <w:rPr>
          <w:b/>
          <w:sz w:val="26"/>
        </w:rPr>
      </w:pPr>
      <w:r w:rsidRPr="00275BAF">
        <w:rPr>
          <w:b/>
          <w:sz w:val="26"/>
        </w:rPr>
        <w:br w:type="page"/>
      </w:r>
    </w:p>
    <w:p w:rsidR="00032B88" w:rsidRPr="00275BAF" w:rsidRDefault="00032B88" w:rsidP="00032B88">
      <w:pPr>
        <w:spacing w:before="120" w:after="120"/>
        <w:rPr>
          <w:b/>
        </w:rPr>
      </w:pPr>
      <w:r w:rsidRPr="00275BAF">
        <w:rPr>
          <w:b/>
        </w:rPr>
        <w:lastRenderedPageBreak/>
        <w:t>Lời nói đầu</w:t>
      </w:r>
    </w:p>
    <w:p w:rsidR="00032B88" w:rsidRPr="00275BAF" w:rsidRDefault="00032B88" w:rsidP="00032B88">
      <w:pPr>
        <w:rPr>
          <w:b/>
          <w:sz w:val="26"/>
        </w:rPr>
      </w:pPr>
    </w:p>
    <w:tbl>
      <w:tblPr>
        <w:tblW w:w="0" w:type="auto"/>
        <w:tblLook w:val="04A0" w:firstRow="1" w:lastRow="0" w:firstColumn="1" w:lastColumn="0" w:noHBand="0" w:noVBand="1"/>
      </w:tblPr>
      <w:tblGrid>
        <w:gridCol w:w="6901"/>
        <w:gridCol w:w="2171"/>
      </w:tblGrid>
      <w:tr w:rsidR="00032B88" w:rsidRPr="00275BAF" w:rsidTr="0037280F">
        <w:trPr>
          <w:trHeight w:val="3114"/>
        </w:trPr>
        <w:tc>
          <w:tcPr>
            <w:tcW w:w="7054" w:type="dxa"/>
          </w:tcPr>
          <w:p w:rsidR="00032B88" w:rsidRPr="00275BAF" w:rsidRDefault="00032B88" w:rsidP="0037280F">
            <w:pPr>
              <w:spacing w:before="120" w:after="120" w:line="400" w:lineRule="exact"/>
              <w:jc w:val="both"/>
              <w:rPr>
                <w:spacing w:val="-4"/>
                <w:sz w:val="26"/>
              </w:rPr>
            </w:pPr>
            <w:r w:rsidRPr="00275BAF">
              <w:rPr>
                <w:spacing w:val="-4"/>
                <w:sz w:val="26"/>
              </w:rPr>
              <w:t xml:space="preserve">QCVN 61-MT:2016/BTNMT do Tổ soạn thảo Thông tư ban hành Quy chuẩn kỹ thuật quốc gia về môi trường đối với lò đốt chất thải rắn sinh hoạt biên soạn, Tổng cục Môi trường, Vụ Khoa học và Công nghệ, Vụ Pháp chế trình duyệt, </w:t>
            </w:r>
            <w:r w:rsidRPr="00275BAF">
              <w:rPr>
                <w:spacing w:val="-4"/>
                <w:sz w:val="26"/>
              </w:rPr>
              <w:br/>
              <w:t>Bộ Khoa học và Công nghệ thẩm định và được ban hành theo Thông tư số 03/2016/TT-BTNMT ngày 10 tháng 3 năm 2016 của Bộ trưởng Bộ Tài nguyên và Môi trường.</w:t>
            </w:r>
          </w:p>
        </w:tc>
        <w:tc>
          <w:tcPr>
            <w:tcW w:w="2234" w:type="dxa"/>
          </w:tcPr>
          <w:p w:rsidR="00032B88" w:rsidRPr="00275BAF" w:rsidRDefault="00032B88" w:rsidP="0037280F">
            <w:pPr>
              <w:spacing w:before="120" w:after="120" w:line="400" w:lineRule="exact"/>
              <w:jc w:val="both"/>
              <w:rPr>
                <w:spacing w:val="-4"/>
                <w:sz w:val="26"/>
              </w:rPr>
            </w:pPr>
          </w:p>
        </w:tc>
      </w:tr>
    </w:tbl>
    <w:p w:rsidR="00032B88" w:rsidRPr="00275BAF" w:rsidRDefault="00032B88" w:rsidP="00032B88">
      <w:pPr>
        <w:spacing w:before="120" w:after="120" w:line="400" w:lineRule="exact"/>
        <w:jc w:val="both"/>
        <w:rPr>
          <w:spacing w:val="-4"/>
          <w:sz w:val="26"/>
        </w:rPr>
      </w:pPr>
    </w:p>
    <w:p w:rsidR="00032B88" w:rsidRPr="00275BAF" w:rsidRDefault="00032B88" w:rsidP="00032B88">
      <w:pPr>
        <w:spacing w:before="120" w:after="120" w:line="400" w:lineRule="exact"/>
        <w:jc w:val="both"/>
        <w:rPr>
          <w:spacing w:val="-4"/>
          <w:sz w:val="26"/>
        </w:rPr>
      </w:pPr>
    </w:p>
    <w:p w:rsidR="00032B88" w:rsidRPr="00275BAF" w:rsidRDefault="00032B88" w:rsidP="00032B88">
      <w:pPr>
        <w:spacing w:before="120" w:after="120" w:line="400" w:lineRule="exact"/>
        <w:jc w:val="both"/>
        <w:rPr>
          <w:spacing w:val="-4"/>
          <w:sz w:val="26"/>
        </w:rPr>
      </w:pPr>
    </w:p>
    <w:p w:rsidR="00032B88" w:rsidRPr="00275BAF" w:rsidRDefault="00032B88" w:rsidP="00032B88">
      <w:pPr>
        <w:spacing w:before="120" w:after="120" w:line="400" w:lineRule="exact"/>
        <w:jc w:val="both"/>
        <w:rPr>
          <w:spacing w:val="-4"/>
          <w:sz w:val="26"/>
        </w:rPr>
      </w:pPr>
    </w:p>
    <w:p w:rsidR="00032B88" w:rsidRPr="00275BAF" w:rsidRDefault="00032B88" w:rsidP="00032B88">
      <w:pPr>
        <w:spacing w:before="120" w:after="120" w:line="400" w:lineRule="exact"/>
        <w:jc w:val="both"/>
        <w:rPr>
          <w:spacing w:val="-4"/>
          <w:sz w:val="26"/>
        </w:rPr>
      </w:pPr>
    </w:p>
    <w:p w:rsidR="00032B88" w:rsidRPr="00275BAF" w:rsidRDefault="00032B88" w:rsidP="00032B88">
      <w:pPr>
        <w:spacing w:before="120" w:after="120" w:line="400" w:lineRule="exact"/>
        <w:jc w:val="both"/>
        <w:rPr>
          <w:spacing w:val="-4"/>
          <w:sz w:val="26"/>
        </w:rPr>
      </w:pPr>
    </w:p>
    <w:p w:rsidR="00032B88" w:rsidRPr="00275BAF" w:rsidRDefault="00032B88" w:rsidP="00032B88">
      <w:pPr>
        <w:spacing w:before="120" w:after="120" w:line="400" w:lineRule="exact"/>
        <w:jc w:val="both"/>
        <w:rPr>
          <w:spacing w:val="-4"/>
          <w:sz w:val="26"/>
        </w:rPr>
      </w:pPr>
    </w:p>
    <w:p w:rsidR="00032B88" w:rsidRPr="00275BAF" w:rsidRDefault="00032B88" w:rsidP="00032B88">
      <w:pPr>
        <w:spacing w:before="120" w:after="120" w:line="400" w:lineRule="exact"/>
        <w:jc w:val="both"/>
        <w:rPr>
          <w:spacing w:val="-4"/>
          <w:sz w:val="26"/>
        </w:rPr>
      </w:pPr>
    </w:p>
    <w:p w:rsidR="00032B88" w:rsidRPr="00275BAF" w:rsidRDefault="00032B88" w:rsidP="00032B88">
      <w:pPr>
        <w:spacing w:before="120" w:after="120"/>
        <w:rPr>
          <w:b/>
          <w:sz w:val="26"/>
        </w:rPr>
      </w:pP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spacing w:before="120" w:after="120"/>
        <w:jc w:val="center"/>
      </w:pPr>
    </w:p>
    <w:p w:rsidR="00032B88" w:rsidRPr="00275BAF" w:rsidRDefault="00032B88" w:rsidP="00032B88">
      <w:pPr>
        <w:spacing w:before="120" w:after="120"/>
        <w:ind w:left="360"/>
        <w:rPr>
          <w:b/>
          <w:bCs/>
          <w:szCs w:val="26"/>
        </w:rPr>
      </w:pPr>
    </w:p>
    <w:p w:rsidR="00032B88" w:rsidRPr="00275BAF" w:rsidRDefault="00032B88" w:rsidP="00032B88">
      <w:pPr>
        <w:spacing w:before="120" w:after="120"/>
        <w:ind w:left="360"/>
        <w:rPr>
          <w:b/>
          <w:bCs/>
          <w:szCs w:val="26"/>
        </w:rPr>
      </w:pPr>
    </w:p>
    <w:p w:rsidR="00032B88" w:rsidRPr="00275BAF" w:rsidRDefault="00032B88" w:rsidP="00032B88">
      <w:pPr>
        <w:spacing w:before="120"/>
        <w:jc w:val="center"/>
        <w:rPr>
          <w:bCs/>
          <w:i/>
        </w:rPr>
      </w:pPr>
      <w:r w:rsidRPr="00275BAF">
        <w:rPr>
          <w:b/>
          <w:bCs/>
          <w:szCs w:val="26"/>
        </w:rPr>
        <w:br w:type="page"/>
      </w:r>
      <w:r w:rsidR="0009119C">
        <w:rPr>
          <w:b/>
          <w:noProof/>
          <w:lang w:val="en-US" w:eastAsia="en-US"/>
        </w:rPr>
        <w:lastRenderedPageBreak/>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-306705</wp:posOffset>
                </wp:positionV>
                <wp:extent cx="2171700" cy="228600"/>
                <wp:effectExtent l="3810" t="0" r="0" b="381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60FF1" id="Rectangle 4" o:spid="_x0000_s1026" style="position:absolute;margin-left:297pt;margin-top:-24.15pt;width:17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" stroked="f"/>
            </w:pict>
          </mc:Fallback>
        </mc:AlternateContent>
      </w:r>
      <w:r w:rsidRPr="00275BAF">
        <w:rPr>
          <w:b/>
        </w:rPr>
        <w:t xml:space="preserve">QUY CHUẨN KỸ THUẬT QUỐC GIA </w:t>
      </w:r>
      <w:r w:rsidRPr="00275BAF">
        <w:rPr>
          <w:b/>
        </w:rPr>
        <w:br/>
        <w:t xml:space="preserve">VỀ </w:t>
      </w:r>
      <w:r w:rsidRPr="00275BAF">
        <w:rPr>
          <w:b/>
          <w:spacing w:val="-12"/>
        </w:rPr>
        <w:t>LÒ ĐỐT CHẤT THẢI RẮN SINH HOẠT</w:t>
      </w:r>
      <w:r w:rsidRPr="00275BAF">
        <w:rPr>
          <w:b/>
          <w:spacing w:val="-12"/>
        </w:rPr>
        <w:br/>
      </w:r>
      <w:r w:rsidRPr="00275BAF">
        <w:rPr>
          <w:bCs/>
          <w:i/>
        </w:rPr>
        <w:t>National Technical Regulation on Domestic Solid Waste Incinerator</w:t>
      </w:r>
    </w:p>
    <w:p w:rsidR="00032B88" w:rsidRPr="00275BAF" w:rsidRDefault="00032B88" w:rsidP="00032B88">
      <w:pPr>
        <w:spacing w:before="240" w:after="240"/>
        <w:jc w:val="center"/>
        <w:rPr>
          <w:b/>
          <w:bCs/>
        </w:rPr>
      </w:pPr>
    </w:p>
    <w:p w:rsidR="00032B88" w:rsidRPr="00275BAF" w:rsidRDefault="00032B88" w:rsidP="00032B88">
      <w:pPr>
        <w:spacing w:before="240" w:after="240"/>
        <w:jc w:val="center"/>
        <w:rPr>
          <w:b/>
          <w:bCs/>
        </w:rPr>
      </w:pPr>
      <w:r w:rsidRPr="00275BAF">
        <w:rPr>
          <w:b/>
          <w:bCs/>
        </w:rPr>
        <w:t>1. QUY ĐỊNH CHUNG</w:t>
      </w:r>
    </w:p>
    <w:p w:rsidR="00032B88" w:rsidRPr="00275BAF" w:rsidRDefault="00032B88" w:rsidP="00032B88">
      <w:pPr>
        <w:spacing w:before="120" w:after="120" w:line="400" w:lineRule="exact"/>
        <w:ind w:left="360" w:firstLine="360"/>
        <w:rPr>
          <w:b/>
          <w:bCs/>
        </w:rPr>
      </w:pPr>
      <w:r w:rsidRPr="00275BAF">
        <w:rPr>
          <w:b/>
          <w:bCs/>
        </w:rPr>
        <w:t>1.1. Phạm vi điều chỉnh</w:t>
      </w:r>
    </w:p>
    <w:p w:rsidR="00032B88" w:rsidRPr="00275BAF" w:rsidRDefault="00032B88" w:rsidP="00032B88">
      <w:pPr>
        <w:pStyle w:val="ndieund"/>
        <w:spacing w:before="120" w:line="340" w:lineRule="atLeast"/>
        <w:ind w:right="28"/>
        <w:rPr>
          <w:rFonts w:ascii="Times New Roman" w:hAnsi="Times New Roman"/>
          <w:spacing w:val="8"/>
          <w:szCs w:val="28"/>
          <w:lang w:val="vi-VN"/>
        </w:rPr>
      </w:pPr>
      <w:r w:rsidRPr="00275BAF">
        <w:rPr>
          <w:rFonts w:ascii="Times New Roman" w:hAnsi="Times New Roman"/>
          <w:spacing w:val="8"/>
          <w:szCs w:val="28"/>
          <w:lang w:val="vi-VN"/>
        </w:rPr>
        <w:t>Quy chuẩn này quy định các yêu cầu kỹ thuật đối với lò đốt chất thải rắn sinh hoạt và giá trị tối đa cho phép của các thông số ô nhiễm trong khí thải lò đốt chất thải rắn sinh hoạt.</w:t>
      </w:r>
    </w:p>
    <w:p w:rsidR="00032B88" w:rsidRPr="00275BAF" w:rsidRDefault="00032B88" w:rsidP="00032B88">
      <w:pPr>
        <w:spacing w:before="120" w:after="120" w:line="400" w:lineRule="exact"/>
        <w:ind w:firstLine="720"/>
        <w:jc w:val="both"/>
        <w:rPr>
          <w:b/>
          <w:bCs/>
        </w:rPr>
      </w:pPr>
      <w:r w:rsidRPr="00275BAF">
        <w:rPr>
          <w:b/>
          <w:bCs/>
        </w:rPr>
        <w:t>1.2. Đối tượng áp dụng</w:t>
      </w:r>
    </w:p>
    <w:p w:rsidR="00032B88" w:rsidRPr="00275BAF" w:rsidRDefault="00032B88" w:rsidP="00032B88">
      <w:pPr>
        <w:pStyle w:val="ndieund"/>
        <w:spacing w:before="120" w:line="340" w:lineRule="atLeast"/>
        <w:ind w:right="28"/>
        <w:rPr>
          <w:rFonts w:ascii="Times New Roman" w:hAnsi="Times New Roman"/>
          <w:spacing w:val="8"/>
          <w:szCs w:val="28"/>
          <w:lang w:val="vi-VN"/>
        </w:rPr>
      </w:pPr>
      <w:r w:rsidRPr="00275BAF">
        <w:rPr>
          <w:rFonts w:ascii="Times New Roman" w:hAnsi="Times New Roman"/>
          <w:spacing w:val="8"/>
          <w:szCs w:val="28"/>
          <w:lang w:val="vi-VN"/>
        </w:rPr>
        <w:t>Quy chuẩn này áp dụng đối với các tổ chức, cá nhân sản xuất, nhập khẩu, kinh doanh (phân phối), sử dụng lò đốt chất thải rắn sinh hoạt trên lãnh thổ nước Cộng hòa xã hội chủ nghĩa Việt Nam; cơ quan quản lý nhà nước về môi trường và các tổ chức, cá nhân liên quan.</w:t>
      </w:r>
    </w:p>
    <w:p w:rsidR="00032B88" w:rsidRPr="00275BAF" w:rsidRDefault="00032B88" w:rsidP="00032B88">
      <w:pPr>
        <w:spacing w:before="120" w:after="120" w:line="400" w:lineRule="exact"/>
        <w:ind w:firstLine="720"/>
        <w:jc w:val="both"/>
        <w:rPr>
          <w:b/>
          <w:bCs/>
        </w:rPr>
      </w:pPr>
      <w:r w:rsidRPr="00275BAF">
        <w:rPr>
          <w:b/>
          <w:bCs/>
        </w:rPr>
        <w:lastRenderedPageBreak/>
        <w:t>1.3. Giải thích thuật ngữ</w:t>
      </w:r>
      <w:r w:rsidRPr="00275BAF">
        <w:rPr>
          <w:b/>
          <w:bCs/>
        </w:rPr>
        <w:tab/>
      </w:r>
    </w:p>
    <w:p w:rsidR="00032B88" w:rsidRPr="00275BAF" w:rsidRDefault="00032B88" w:rsidP="00032B88">
      <w:pPr>
        <w:pStyle w:val="ndieund"/>
        <w:spacing w:before="120" w:line="340" w:lineRule="atLeast"/>
        <w:ind w:right="28"/>
        <w:rPr>
          <w:rFonts w:ascii="Times New Roman" w:hAnsi="Times New Roman"/>
          <w:szCs w:val="28"/>
          <w:lang w:val="vi-VN"/>
        </w:rPr>
      </w:pPr>
      <w:r w:rsidRPr="00275BAF">
        <w:rPr>
          <w:rFonts w:ascii="Times New Roman" w:hAnsi="Times New Roman"/>
          <w:szCs w:val="28"/>
          <w:lang w:val="vi-VN"/>
        </w:rPr>
        <w:t>Trong Quy chuẩn này, các từ ngữ dưới đây được hiểu như sau:</w:t>
      </w:r>
    </w:p>
    <w:p w:rsidR="00032B88" w:rsidRPr="00275BAF" w:rsidRDefault="00032B88" w:rsidP="00032B88">
      <w:pPr>
        <w:pStyle w:val="ndieund"/>
        <w:spacing w:before="120" w:line="340" w:lineRule="exact"/>
        <w:ind w:right="28"/>
        <w:rPr>
          <w:rFonts w:ascii="Times New Roman" w:hAnsi="Times New Roman"/>
          <w:spacing w:val="4"/>
          <w:szCs w:val="28"/>
          <w:lang w:val="vi-VN"/>
        </w:rPr>
      </w:pPr>
      <w:r w:rsidRPr="00275BAF">
        <w:rPr>
          <w:rFonts w:ascii="Times New Roman" w:hAnsi="Times New Roman"/>
          <w:spacing w:val="4"/>
          <w:szCs w:val="28"/>
        </w:rPr>
        <w:t xml:space="preserve">1.3.1. </w:t>
      </w:r>
      <w:r w:rsidRPr="00275BAF">
        <w:rPr>
          <w:rFonts w:ascii="Times New Roman" w:hAnsi="Times New Roman"/>
          <w:b/>
          <w:i/>
          <w:spacing w:val="4"/>
          <w:szCs w:val="28"/>
          <w:lang w:val="vi-VN"/>
        </w:rPr>
        <w:t>Chất thải rắn sinh hoạt</w:t>
      </w:r>
      <w:r w:rsidRPr="00275BAF">
        <w:rPr>
          <w:rFonts w:ascii="Times New Roman" w:hAnsi="Times New Roman"/>
          <w:spacing w:val="4"/>
          <w:szCs w:val="28"/>
          <w:lang w:val="vi-VN"/>
        </w:rPr>
        <w:t xml:space="preserve"> (còn gọi là rác sinh hoạt, sau đây viết tắt là CTRSH) là chất thải rắn phát sinh trong sinh hoạt thường ngày của con người.</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 xml:space="preserve">1.3.2. </w:t>
      </w:r>
      <w:r w:rsidRPr="00275BAF">
        <w:rPr>
          <w:rFonts w:ascii="Times New Roman" w:hAnsi="Times New Roman"/>
          <w:b/>
          <w:i/>
          <w:spacing w:val="8"/>
          <w:szCs w:val="28"/>
          <w:lang w:val="vi-VN"/>
        </w:rPr>
        <w:t>Lò đốt CTRSH</w:t>
      </w:r>
      <w:r w:rsidRPr="00275BAF">
        <w:rPr>
          <w:rFonts w:ascii="Times New Roman" w:hAnsi="Times New Roman"/>
          <w:spacing w:val="8"/>
          <w:szCs w:val="28"/>
          <w:lang w:val="vi-VN"/>
        </w:rPr>
        <w:t xml:space="preserve"> là hệ thống thiết bị xử lý CTRSH bằng phương pháp đốt kèm theo hệ thống xử lý khí thải.</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 xml:space="preserve">1.3.3. </w:t>
      </w:r>
      <w:r w:rsidRPr="00275BAF">
        <w:rPr>
          <w:rFonts w:ascii="Times New Roman" w:hAnsi="Times New Roman"/>
          <w:b/>
          <w:i/>
          <w:spacing w:val="8"/>
          <w:szCs w:val="28"/>
          <w:lang w:val="vi-VN"/>
        </w:rPr>
        <w:t>Vùng đốt</w:t>
      </w:r>
      <w:r w:rsidRPr="00275BAF">
        <w:rPr>
          <w:rFonts w:ascii="Times New Roman" w:hAnsi="Times New Roman"/>
          <w:spacing w:val="8"/>
          <w:szCs w:val="28"/>
          <w:lang w:val="vi-VN"/>
        </w:rPr>
        <w:t xml:space="preserve"> (hoặc buồng đốt) là các khu vực sử dụng nhiệt để đốt CTRSH, gồm có:</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 xml:space="preserve">a) </w:t>
      </w:r>
      <w:r w:rsidRPr="00275BAF">
        <w:rPr>
          <w:rFonts w:ascii="Times New Roman" w:hAnsi="Times New Roman"/>
          <w:b/>
          <w:i/>
          <w:spacing w:val="8"/>
          <w:szCs w:val="28"/>
          <w:lang w:val="vi-VN"/>
        </w:rPr>
        <w:t>Vùng đốt sơ cấp</w:t>
      </w:r>
      <w:r w:rsidRPr="00275BAF">
        <w:rPr>
          <w:rFonts w:ascii="Times New Roman" w:hAnsi="Times New Roman"/>
          <w:spacing w:val="8"/>
          <w:szCs w:val="28"/>
          <w:lang w:val="vi-VN"/>
        </w:rPr>
        <w:t xml:space="preserve"> là vùng đốt chuyển hóa CTRSH thành thể khí và thể rắn (tro xỉ, bụi);</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 xml:space="preserve">b) </w:t>
      </w:r>
      <w:r w:rsidRPr="00275BAF">
        <w:rPr>
          <w:rFonts w:ascii="Times New Roman" w:hAnsi="Times New Roman"/>
          <w:b/>
          <w:i/>
          <w:spacing w:val="8"/>
          <w:szCs w:val="28"/>
          <w:lang w:val="vi-VN"/>
        </w:rPr>
        <w:t>Vùng đốt thứ cấp</w:t>
      </w:r>
      <w:r w:rsidRPr="00275BAF">
        <w:rPr>
          <w:rFonts w:ascii="Times New Roman" w:hAnsi="Times New Roman"/>
          <w:spacing w:val="8"/>
          <w:szCs w:val="28"/>
          <w:lang w:val="vi-VN"/>
        </w:rPr>
        <w:t xml:space="preserve"> là vùng đốt các thành phần của dòng khí thoát ra từ vùng đốt sơ cấp.</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 xml:space="preserve">1.3.4. </w:t>
      </w:r>
      <w:r w:rsidRPr="00275BAF">
        <w:rPr>
          <w:rFonts w:ascii="Times New Roman" w:hAnsi="Times New Roman"/>
          <w:b/>
          <w:i/>
          <w:spacing w:val="8"/>
          <w:szCs w:val="28"/>
          <w:lang w:val="vi-VN"/>
        </w:rPr>
        <w:t>Thời gian lưu cháy</w:t>
      </w:r>
      <w:r w:rsidRPr="00275BAF">
        <w:rPr>
          <w:rFonts w:ascii="Times New Roman" w:hAnsi="Times New Roman"/>
          <w:spacing w:val="8"/>
          <w:szCs w:val="28"/>
          <w:lang w:val="vi-VN"/>
        </w:rPr>
        <w:t xml:space="preserve"> là thời gian dòng khí lưu chuyển từ điểm vào đến điểm ra của vùng </w:t>
      </w:r>
      <w:r w:rsidRPr="00275BAF">
        <w:rPr>
          <w:rFonts w:ascii="Times New Roman" w:hAnsi="Times New Roman"/>
          <w:spacing w:val="8"/>
          <w:szCs w:val="28"/>
          <w:lang w:val="vi-VN"/>
        </w:rPr>
        <w:lastRenderedPageBreak/>
        <w:t>đốt thứ cấp ở điều kiện nhiệt độ quy định tại Bảng 1 của Quy chuẩn này.</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 xml:space="preserve">1.3.5. </w:t>
      </w:r>
      <w:r w:rsidRPr="00275BAF">
        <w:rPr>
          <w:rFonts w:ascii="Times New Roman" w:hAnsi="Times New Roman"/>
          <w:b/>
          <w:i/>
          <w:spacing w:val="8"/>
          <w:szCs w:val="28"/>
          <w:lang w:val="vi-VN"/>
        </w:rPr>
        <w:t>Khí thải</w:t>
      </w:r>
      <w:r w:rsidRPr="00275BAF">
        <w:rPr>
          <w:rFonts w:ascii="Times New Roman" w:hAnsi="Times New Roman"/>
          <w:spacing w:val="8"/>
          <w:szCs w:val="28"/>
          <w:lang w:val="vi-VN"/>
        </w:rPr>
        <w:t xml:space="preserve"> là hỗn hợp các thành phần vật chất phát thải ra môi trường không khí từ lò đốt CTRSH.</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 xml:space="preserve">1.3.6. </w:t>
      </w:r>
      <w:r w:rsidRPr="00275BAF">
        <w:rPr>
          <w:rFonts w:ascii="Times New Roman" w:hAnsi="Times New Roman"/>
          <w:b/>
          <w:i/>
          <w:spacing w:val="8"/>
          <w:szCs w:val="28"/>
          <w:lang w:val="vi-VN"/>
        </w:rPr>
        <w:t>Tro xỉ</w:t>
      </w:r>
      <w:r w:rsidRPr="00275BAF">
        <w:rPr>
          <w:rFonts w:ascii="Times New Roman" w:hAnsi="Times New Roman"/>
          <w:spacing w:val="8"/>
          <w:szCs w:val="28"/>
          <w:lang w:val="vi-VN"/>
        </w:rPr>
        <w:t xml:space="preserve"> là chất rắn còn lại sau khi đốt CTRSH trong lò đốt CTRSH.</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1.3.</w:t>
      </w:r>
      <w:r w:rsidRPr="00275BAF">
        <w:rPr>
          <w:rFonts w:ascii="Times New Roman" w:hAnsi="Times New Roman"/>
          <w:spacing w:val="8"/>
          <w:szCs w:val="28"/>
        </w:rPr>
        <w:t>7</w:t>
      </w:r>
      <w:r w:rsidRPr="00275BAF">
        <w:rPr>
          <w:rFonts w:ascii="Times New Roman" w:hAnsi="Times New Roman"/>
          <w:spacing w:val="8"/>
          <w:szCs w:val="28"/>
          <w:lang w:val="vi-VN"/>
        </w:rPr>
        <w:t xml:space="preserve">. </w:t>
      </w:r>
      <w:r w:rsidRPr="00275BAF">
        <w:rPr>
          <w:rFonts w:ascii="Times New Roman" w:hAnsi="Times New Roman"/>
          <w:b/>
          <w:i/>
          <w:spacing w:val="8"/>
          <w:szCs w:val="28"/>
          <w:lang w:val="vi-VN"/>
        </w:rPr>
        <w:t>Công suất lò đốt CTRSH</w:t>
      </w:r>
      <w:r w:rsidRPr="00275BAF">
        <w:rPr>
          <w:rFonts w:ascii="Times New Roman" w:hAnsi="Times New Roman"/>
          <w:spacing w:val="8"/>
          <w:szCs w:val="28"/>
          <w:lang w:val="vi-VN"/>
        </w:rPr>
        <w:t xml:space="preserve"> là khả năng xử lý của lò đốt CTRSH, được tính bằng khối lượng tối đa CTRSH mà lò đốt CTRSH đốt được trong một giờ (kg/h).</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1.3.</w:t>
      </w:r>
      <w:r w:rsidRPr="00275BAF">
        <w:rPr>
          <w:rFonts w:ascii="Times New Roman" w:hAnsi="Times New Roman"/>
          <w:spacing w:val="8"/>
          <w:szCs w:val="28"/>
        </w:rPr>
        <w:t>8</w:t>
      </w:r>
      <w:r w:rsidRPr="00275BAF">
        <w:rPr>
          <w:rFonts w:ascii="Times New Roman" w:hAnsi="Times New Roman"/>
          <w:spacing w:val="8"/>
          <w:szCs w:val="28"/>
          <w:lang w:val="vi-VN"/>
        </w:rPr>
        <w:t xml:space="preserve">. </w:t>
      </w:r>
      <w:r w:rsidRPr="00275BAF">
        <w:rPr>
          <w:rFonts w:ascii="Times New Roman" w:hAnsi="Times New Roman"/>
          <w:b/>
          <w:i/>
          <w:spacing w:val="8"/>
          <w:szCs w:val="28"/>
          <w:lang w:val="vi-VN"/>
        </w:rPr>
        <w:t>Mét khối khí thải chuẩn (Nm</w:t>
      </w:r>
      <w:r w:rsidRPr="00275BAF">
        <w:rPr>
          <w:rFonts w:ascii="Times New Roman" w:hAnsi="Times New Roman"/>
          <w:b/>
          <w:i/>
          <w:spacing w:val="8"/>
          <w:szCs w:val="28"/>
          <w:vertAlign w:val="superscript"/>
          <w:lang w:val="vi-VN"/>
        </w:rPr>
        <w:t>3</w:t>
      </w:r>
      <w:r w:rsidRPr="00275BAF">
        <w:rPr>
          <w:rFonts w:ascii="Times New Roman" w:hAnsi="Times New Roman"/>
          <w:b/>
          <w:i/>
          <w:spacing w:val="8"/>
          <w:szCs w:val="28"/>
          <w:lang w:val="vi-VN"/>
        </w:rPr>
        <w:t>)</w:t>
      </w:r>
      <w:r w:rsidRPr="00275BAF">
        <w:rPr>
          <w:rFonts w:ascii="Times New Roman" w:hAnsi="Times New Roman"/>
          <w:spacing w:val="8"/>
          <w:szCs w:val="28"/>
          <w:lang w:val="vi-VN"/>
        </w:rPr>
        <w:t xml:space="preserve"> là mét khối khí thải ở nhiệt độ 25 </w:t>
      </w:r>
      <w:r w:rsidRPr="00275BAF">
        <w:rPr>
          <w:rFonts w:ascii="Times New Roman" w:hAnsi="Times New Roman"/>
          <w:spacing w:val="8"/>
          <w:szCs w:val="28"/>
          <w:vertAlign w:val="superscript"/>
          <w:lang w:val="vi-VN"/>
        </w:rPr>
        <w:t>0</w:t>
      </w:r>
      <w:r w:rsidRPr="00275BAF">
        <w:rPr>
          <w:rFonts w:ascii="Times New Roman" w:hAnsi="Times New Roman"/>
          <w:spacing w:val="8"/>
          <w:szCs w:val="28"/>
          <w:lang w:val="vi-VN"/>
        </w:rPr>
        <w:t>C và áp suất tuyệt đối 760 mm thủy ngân.</w:t>
      </w:r>
    </w:p>
    <w:p w:rsidR="00032B88" w:rsidRPr="00275BAF" w:rsidRDefault="00032B88" w:rsidP="00032B88">
      <w:pPr>
        <w:spacing w:before="360" w:after="240"/>
        <w:jc w:val="center"/>
        <w:rPr>
          <w:b/>
          <w:bCs/>
        </w:rPr>
      </w:pPr>
      <w:r w:rsidRPr="00275BAF">
        <w:rPr>
          <w:b/>
          <w:bCs/>
        </w:rPr>
        <w:t>2. QUY ĐỊNH KỸ THUẬT</w:t>
      </w:r>
    </w:p>
    <w:p w:rsidR="00032B88" w:rsidRPr="00275BAF" w:rsidRDefault="00032B88" w:rsidP="00032B88">
      <w:pPr>
        <w:spacing w:before="120" w:after="120" w:line="340" w:lineRule="exact"/>
        <w:ind w:firstLine="720"/>
        <w:jc w:val="both"/>
        <w:rPr>
          <w:b/>
          <w:bCs/>
          <w:spacing w:val="-6"/>
        </w:rPr>
      </w:pPr>
      <w:r w:rsidRPr="00275BAF">
        <w:rPr>
          <w:b/>
          <w:bCs/>
          <w:spacing w:val="-6"/>
        </w:rPr>
        <w:t>2.1. Yêu cầu kỹ thuật cơ bản đối với lò đốt chất thải rắn sinh hoạt</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lastRenderedPageBreak/>
        <w:t xml:space="preserve">2.1.1. Lò đốt CTRSH phải có quy trình hoạt động theo nguyên lý đốt nhiều cấp, </w:t>
      </w:r>
      <w:r w:rsidRPr="00275BAF">
        <w:rPr>
          <w:rFonts w:ascii="Times New Roman" w:hAnsi="Times New Roman"/>
          <w:spacing w:val="8"/>
          <w:szCs w:val="28"/>
        </w:rPr>
        <w:t>bảo đảm có</w:t>
      </w:r>
      <w:r w:rsidRPr="00275BAF">
        <w:rPr>
          <w:rFonts w:ascii="Times New Roman" w:hAnsi="Times New Roman"/>
          <w:spacing w:val="8"/>
          <w:szCs w:val="28"/>
          <w:lang w:val="vi-VN"/>
        </w:rPr>
        <w:t xml:space="preserve"> vùng đốt sơ cấp và thứ cấp. Thể tích các vùng đốt, công suất và thời gian lưu cháy của lò đốt CTRSH được xác định </w:t>
      </w:r>
      <w:r w:rsidRPr="00275BAF">
        <w:rPr>
          <w:rFonts w:ascii="Times New Roman" w:hAnsi="Times New Roman"/>
          <w:spacing w:val="8"/>
          <w:szCs w:val="28"/>
        </w:rPr>
        <w:t xml:space="preserve">theo hướng dẫn </w:t>
      </w:r>
      <w:r w:rsidRPr="00275BAF">
        <w:rPr>
          <w:rFonts w:ascii="Times New Roman" w:hAnsi="Times New Roman"/>
          <w:spacing w:val="8"/>
          <w:szCs w:val="28"/>
          <w:lang w:val="vi-VN"/>
        </w:rPr>
        <w:t xml:space="preserve">tại Phụ lục </w:t>
      </w:r>
      <w:r w:rsidRPr="00275BAF">
        <w:rPr>
          <w:rFonts w:ascii="Times New Roman" w:hAnsi="Times New Roman"/>
          <w:spacing w:val="8"/>
          <w:szCs w:val="28"/>
        </w:rPr>
        <w:t>kèm theo</w:t>
      </w:r>
      <w:r w:rsidRPr="00275BAF">
        <w:rPr>
          <w:rFonts w:ascii="Times New Roman" w:hAnsi="Times New Roman"/>
          <w:spacing w:val="8"/>
          <w:szCs w:val="28"/>
          <w:lang w:val="vi-VN"/>
        </w:rPr>
        <w:t xml:space="preserve"> Quy chuẩn này.</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 xml:space="preserve">2.1.2. Có biện pháp hạn chế </w:t>
      </w:r>
      <w:r w:rsidRPr="00275BAF">
        <w:rPr>
          <w:rFonts w:ascii="Times New Roman" w:hAnsi="Times New Roman"/>
          <w:spacing w:val="8"/>
          <w:szCs w:val="28"/>
        </w:rPr>
        <w:t>khí thải</w:t>
      </w:r>
      <w:r w:rsidRPr="00275BAF">
        <w:rPr>
          <w:rFonts w:ascii="Times New Roman" w:hAnsi="Times New Roman"/>
          <w:spacing w:val="8"/>
          <w:szCs w:val="28"/>
          <w:lang w:val="vi-VN"/>
        </w:rPr>
        <w:t xml:space="preserve"> thoát ra ngoài môi trường qua cửa nạp CTRSH.</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2.1.3. Ống khói của lò đốt CTRSH phải bảo đảm như sau:</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a) Chiều cao ống khói được tính toán bảo đảm yêu cầu về chất lượng môi trường không khí xung quanh khi phát tán vào môi trường, nhưng không được thấp hơn 20 (hai mươi) m tính từ mặt đất. Trường hợp trong phạm vi 40 (bốn mươi) m tính từ chân ống khói có vật cản cố định ảnh hưởng đến quá trình phát tán khí thải thì ống khói phải cao hơn tối thiểu 03 (ba) m so với điểm cao nhất của vật cản;</w:t>
      </w:r>
    </w:p>
    <w:p w:rsidR="00032B88" w:rsidRPr="00275BAF" w:rsidRDefault="00032B88" w:rsidP="00032B88">
      <w:pPr>
        <w:pStyle w:val="ndieund"/>
        <w:spacing w:before="120" w:line="340" w:lineRule="exact"/>
        <w:ind w:left="-113" w:right="-113"/>
        <w:rPr>
          <w:rFonts w:ascii="Times New Roman" w:hAnsi="Times New Roman"/>
          <w:spacing w:val="8"/>
          <w:szCs w:val="28"/>
          <w:lang w:val="vi-VN"/>
        </w:rPr>
      </w:pPr>
      <w:r w:rsidRPr="00275BAF">
        <w:rPr>
          <w:rFonts w:ascii="Times New Roman" w:hAnsi="Times New Roman"/>
          <w:spacing w:val="8"/>
          <w:szCs w:val="28"/>
          <w:lang w:val="vi-VN"/>
        </w:rPr>
        <w:lastRenderedPageBreak/>
        <w:t>b) Ống khói phải có điểm (cửa) lấy mẫu khí thải</w:t>
      </w:r>
      <w:r w:rsidRPr="00275BAF">
        <w:rPr>
          <w:rFonts w:ascii="Times New Roman" w:hAnsi="Times New Roman"/>
          <w:spacing w:val="8"/>
          <w:szCs w:val="28"/>
        </w:rPr>
        <w:t xml:space="preserve"> với đ</w:t>
      </w:r>
      <w:r w:rsidRPr="00275BAF">
        <w:rPr>
          <w:rFonts w:ascii="Times New Roman" w:hAnsi="Times New Roman"/>
          <w:spacing w:val="8"/>
          <w:szCs w:val="28"/>
          <w:lang w:val="vi-VN"/>
        </w:rPr>
        <w:t>ường kính hoặc độ rộng mỗi chiều từ 90 (chín mươi)</w:t>
      </w:r>
      <w:r w:rsidRPr="00275BAF">
        <w:rPr>
          <w:rFonts w:ascii="Times New Roman" w:hAnsi="Times New Roman"/>
          <w:spacing w:val="8"/>
          <w:szCs w:val="28"/>
        </w:rPr>
        <w:t xml:space="preserve"> mm</w:t>
      </w:r>
      <w:r w:rsidRPr="00275BAF">
        <w:rPr>
          <w:rFonts w:ascii="Times New Roman" w:hAnsi="Times New Roman"/>
          <w:spacing w:val="8"/>
          <w:szCs w:val="28"/>
          <w:lang w:val="vi-VN"/>
        </w:rPr>
        <w:t xml:space="preserve"> đến 110 (một trăm mười) mm</w:t>
      </w:r>
      <w:r w:rsidRPr="00275BAF">
        <w:rPr>
          <w:rFonts w:ascii="Times New Roman" w:hAnsi="Times New Roman"/>
          <w:spacing w:val="8"/>
          <w:szCs w:val="28"/>
        </w:rPr>
        <w:t xml:space="preserve">, </w:t>
      </w:r>
      <w:r w:rsidRPr="00275BAF">
        <w:rPr>
          <w:rFonts w:ascii="Times New Roman" w:hAnsi="Times New Roman"/>
          <w:spacing w:val="8"/>
          <w:szCs w:val="28"/>
          <w:lang w:val="vi-VN"/>
        </w:rPr>
        <w:t>có nắp đậy để điều chỉnh độ mở rộng</w:t>
      </w:r>
      <w:r w:rsidRPr="00275BAF">
        <w:rPr>
          <w:rFonts w:ascii="Times New Roman" w:hAnsi="Times New Roman"/>
          <w:spacing w:val="8"/>
          <w:szCs w:val="28"/>
        </w:rPr>
        <w:t xml:space="preserve">, </w:t>
      </w:r>
      <w:r w:rsidRPr="00275BAF">
        <w:rPr>
          <w:rFonts w:ascii="Times New Roman" w:hAnsi="Times New Roman"/>
          <w:spacing w:val="8"/>
          <w:szCs w:val="28"/>
          <w:lang w:val="vi-VN"/>
        </w:rPr>
        <w:t>kèm theo sàn thao tác bảo đảm an toàn, thuận lợi khi tiếp cận và lấy mẫu. Điểm lấy mẫu phải nằm trong khoảng giữa hai vị trí sau:</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 Cận dưới: Phía trên điểm cao nhất của mối nối giữa ống dẫn từ hệ thống xử lý khí thải với ống khói một khoảng cách ít nhất 08 (tám) lần đường kính trong lớn nhất của ống khói;</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 xml:space="preserve">- Cận trên: Phía dưới </w:t>
      </w:r>
      <w:r w:rsidRPr="00275BAF">
        <w:rPr>
          <w:rFonts w:ascii="Times New Roman" w:hAnsi="Times New Roman"/>
          <w:spacing w:val="8"/>
          <w:szCs w:val="28"/>
        </w:rPr>
        <w:t>miệng ống khói một khoảng</w:t>
      </w:r>
      <w:r w:rsidRPr="00275BAF">
        <w:rPr>
          <w:rFonts w:ascii="Times New Roman" w:hAnsi="Times New Roman"/>
          <w:spacing w:val="8"/>
          <w:szCs w:val="28"/>
          <w:lang w:val="vi-VN"/>
        </w:rPr>
        <w:t xml:space="preserve"> cách ít nhất 02 (hai) lần đường kính trong lớn nhất của ống khói tính từ miệng ống khói.</w:t>
      </w:r>
    </w:p>
    <w:p w:rsidR="00032B88" w:rsidRPr="00275BAF" w:rsidRDefault="00032B88" w:rsidP="00032B88">
      <w:pPr>
        <w:pStyle w:val="ndieund"/>
        <w:spacing w:before="120" w:line="340" w:lineRule="exact"/>
        <w:ind w:right="28"/>
        <w:rPr>
          <w:rFonts w:ascii="Times New Roman" w:hAnsi="Times New Roman"/>
          <w:spacing w:val="8"/>
          <w:szCs w:val="28"/>
        </w:rPr>
      </w:pPr>
      <w:r w:rsidRPr="00275BAF">
        <w:rPr>
          <w:rFonts w:ascii="Times New Roman" w:hAnsi="Times New Roman"/>
          <w:spacing w:val="8"/>
          <w:szCs w:val="28"/>
          <w:lang w:val="vi-VN"/>
        </w:rPr>
        <w:t>2.1.4. Trong quá trình hoạt động bình thường, các thông số kỹ thuật cơ bản của lò đốt CTRSH phải đáp ứng các quy định tại Bảng 1 của Quy chuẩn này.</w:t>
      </w:r>
    </w:p>
    <w:p w:rsidR="00032B88" w:rsidRPr="00275BAF" w:rsidRDefault="00032B88" w:rsidP="00032B88">
      <w:pPr>
        <w:pStyle w:val="ndieund"/>
        <w:spacing w:before="120" w:line="340" w:lineRule="exact"/>
        <w:ind w:right="28"/>
        <w:rPr>
          <w:rFonts w:ascii="Times New Roman" w:hAnsi="Times New Roman"/>
          <w:spacing w:val="8"/>
          <w:szCs w:val="28"/>
        </w:rPr>
      </w:pPr>
    </w:p>
    <w:p w:rsidR="00032B88" w:rsidRPr="00275BAF" w:rsidRDefault="00032B88" w:rsidP="00032B88">
      <w:pPr>
        <w:pStyle w:val="ndieund"/>
        <w:spacing w:before="120" w:line="340" w:lineRule="exact"/>
        <w:ind w:right="28"/>
        <w:rPr>
          <w:rFonts w:ascii="Times New Roman" w:hAnsi="Times New Roman"/>
          <w:spacing w:val="8"/>
          <w:szCs w:val="28"/>
        </w:rPr>
      </w:pPr>
    </w:p>
    <w:p w:rsidR="00032B88" w:rsidRPr="00275BAF" w:rsidRDefault="00032B88" w:rsidP="00032B88">
      <w:pPr>
        <w:spacing w:before="120" w:after="120" w:line="320" w:lineRule="atLeast"/>
        <w:jc w:val="center"/>
        <w:rPr>
          <w:b/>
          <w:color w:val="000000"/>
          <w:spacing w:val="-6"/>
        </w:rPr>
      </w:pPr>
      <w:r w:rsidRPr="00275BAF">
        <w:rPr>
          <w:b/>
          <w:color w:val="000000"/>
          <w:spacing w:val="-6"/>
        </w:rPr>
        <w:t>Bảng 1. Các thông số kỹ thuật cơ bản của lò đốt chất thải rắn sinh hoạt</w:t>
      </w:r>
    </w:p>
    <w:tbl>
      <w:tblPr>
        <w:tblW w:w="9146" w:type="dxa"/>
        <w:jc w:val="center"/>
        <w:tblLayout w:type="fixed"/>
        <w:tblCellMar>
          <w:left w:w="115" w:type="dxa"/>
          <w:right w:w="115" w:type="dxa"/>
        </w:tblCellMar>
        <w:tblLook w:val="0000" w:firstRow="0" w:lastRow="0" w:firstColumn="0" w:lastColumn="0" w:noHBand="0" w:noVBand="0"/>
      </w:tblPr>
      <w:tblGrid>
        <w:gridCol w:w="604"/>
        <w:gridCol w:w="6096"/>
        <w:gridCol w:w="992"/>
        <w:gridCol w:w="1454"/>
      </w:tblGrid>
      <w:tr w:rsidR="00032B88" w:rsidRPr="00275BAF" w:rsidTr="0037280F">
        <w:trPr>
          <w:trHeight w:val="20"/>
          <w:jc w:val="center"/>
        </w:trPr>
        <w:tc>
          <w:tcPr>
            <w:tcW w:w="604"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120" w:after="120"/>
              <w:ind w:left="-227" w:right="-227"/>
              <w:jc w:val="center"/>
              <w:rPr>
                <w:b/>
                <w:color w:val="000000"/>
              </w:rPr>
            </w:pPr>
            <w:r w:rsidRPr="00275BAF">
              <w:rPr>
                <w:b/>
                <w:color w:val="000000"/>
              </w:rPr>
              <w:t>TT</w:t>
            </w:r>
          </w:p>
        </w:tc>
        <w:tc>
          <w:tcPr>
            <w:tcW w:w="6096"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120" w:after="120"/>
              <w:jc w:val="center"/>
              <w:rPr>
                <w:b/>
                <w:color w:val="000000"/>
              </w:rPr>
            </w:pPr>
            <w:r w:rsidRPr="00275BAF">
              <w:rPr>
                <w:b/>
                <w:color w:val="000000"/>
              </w:rPr>
              <w:t>Thông số</w:t>
            </w:r>
          </w:p>
        </w:tc>
        <w:tc>
          <w:tcPr>
            <w:tcW w:w="992"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120" w:after="120"/>
              <w:jc w:val="center"/>
              <w:rPr>
                <w:b/>
                <w:color w:val="000000"/>
              </w:rPr>
            </w:pPr>
            <w:r w:rsidRPr="00275BAF">
              <w:rPr>
                <w:b/>
                <w:color w:val="000000"/>
              </w:rPr>
              <w:t>Đơn vị</w:t>
            </w:r>
          </w:p>
        </w:tc>
        <w:tc>
          <w:tcPr>
            <w:tcW w:w="1454" w:type="dxa"/>
            <w:tcBorders>
              <w:top w:val="single" w:sz="4" w:space="0" w:color="auto"/>
              <w:left w:val="single" w:sz="4" w:space="0" w:color="auto"/>
              <w:bottom w:val="nil"/>
              <w:right w:val="single" w:sz="4" w:space="0" w:color="auto"/>
            </w:tcBorders>
            <w:shd w:val="clear" w:color="auto" w:fill="FFFFFF"/>
            <w:vAlign w:val="center"/>
          </w:tcPr>
          <w:p w:rsidR="00032B88" w:rsidRPr="00275BAF" w:rsidRDefault="00032B88" w:rsidP="0037280F">
            <w:pPr>
              <w:spacing w:before="120" w:after="120"/>
              <w:jc w:val="center"/>
              <w:rPr>
                <w:b/>
                <w:color w:val="000000"/>
              </w:rPr>
            </w:pPr>
            <w:r w:rsidRPr="00275BAF">
              <w:rPr>
                <w:b/>
                <w:color w:val="000000"/>
              </w:rPr>
              <w:t>Giá trị yêu cầu</w:t>
            </w:r>
          </w:p>
        </w:tc>
      </w:tr>
      <w:tr w:rsidR="00032B88" w:rsidRPr="00275BAF" w:rsidTr="0037280F">
        <w:trPr>
          <w:trHeight w:val="20"/>
          <w:jc w:val="center"/>
        </w:trPr>
        <w:tc>
          <w:tcPr>
            <w:tcW w:w="604"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120" w:after="120"/>
              <w:ind w:left="-57" w:right="-57"/>
              <w:jc w:val="center"/>
              <w:rPr>
                <w:color w:val="000000"/>
              </w:rPr>
            </w:pPr>
            <w:r w:rsidRPr="00275BAF">
              <w:rPr>
                <w:color w:val="000000"/>
              </w:rPr>
              <w:t>1</w:t>
            </w:r>
          </w:p>
        </w:tc>
        <w:tc>
          <w:tcPr>
            <w:tcW w:w="6096" w:type="dxa"/>
            <w:tcBorders>
              <w:top w:val="single" w:sz="4" w:space="0" w:color="auto"/>
              <w:left w:val="single" w:sz="4" w:space="0" w:color="auto"/>
              <w:bottom w:val="nil"/>
              <w:right w:val="nil"/>
            </w:tcBorders>
            <w:shd w:val="clear" w:color="auto" w:fill="FFFFFF"/>
          </w:tcPr>
          <w:p w:rsidR="00032B88" w:rsidRPr="00275BAF" w:rsidRDefault="00032B88" w:rsidP="0037280F">
            <w:pPr>
              <w:spacing w:before="120" w:after="120"/>
              <w:rPr>
                <w:color w:val="000000"/>
                <w:vertAlign w:val="superscript"/>
              </w:rPr>
            </w:pPr>
            <w:r w:rsidRPr="00275BAF">
              <w:rPr>
                <w:color w:val="000000"/>
              </w:rPr>
              <w:t>Công suất của lò đốt CTRSH</w:t>
            </w:r>
            <w:r w:rsidRPr="00275BAF">
              <w:rPr>
                <w:color w:val="000000"/>
                <w:vertAlign w:val="superscript"/>
              </w:rPr>
              <w:t>(1)</w:t>
            </w:r>
          </w:p>
        </w:tc>
        <w:tc>
          <w:tcPr>
            <w:tcW w:w="992"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120" w:after="120"/>
              <w:jc w:val="center"/>
              <w:rPr>
                <w:color w:val="000000"/>
              </w:rPr>
            </w:pPr>
            <w:r w:rsidRPr="00275BAF">
              <w:rPr>
                <w:color w:val="000000"/>
              </w:rPr>
              <w:t>kg/h</w:t>
            </w:r>
          </w:p>
        </w:tc>
        <w:tc>
          <w:tcPr>
            <w:tcW w:w="1454" w:type="dxa"/>
            <w:tcBorders>
              <w:top w:val="single" w:sz="4" w:space="0" w:color="auto"/>
              <w:left w:val="single" w:sz="4" w:space="0" w:color="auto"/>
              <w:bottom w:val="nil"/>
              <w:right w:val="single" w:sz="4" w:space="0" w:color="auto"/>
            </w:tcBorders>
            <w:shd w:val="clear" w:color="auto" w:fill="FFFFFF"/>
            <w:vAlign w:val="center"/>
          </w:tcPr>
          <w:p w:rsidR="00032B88" w:rsidRPr="00275BAF" w:rsidRDefault="00032B88" w:rsidP="0037280F">
            <w:pPr>
              <w:spacing w:before="120" w:after="120"/>
              <w:jc w:val="center"/>
              <w:rPr>
                <w:color w:val="000000"/>
              </w:rPr>
            </w:pPr>
            <w:r w:rsidRPr="00275BAF">
              <w:rPr>
                <w:color w:val="000000"/>
              </w:rPr>
              <w:sym w:font="Symbol" w:char="F0B3"/>
            </w:r>
            <w:r w:rsidRPr="00275BAF">
              <w:rPr>
                <w:color w:val="000000"/>
              </w:rPr>
              <w:t xml:space="preserve"> 300</w:t>
            </w:r>
          </w:p>
        </w:tc>
      </w:tr>
      <w:tr w:rsidR="00032B88" w:rsidRPr="00275BAF" w:rsidTr="0037280F">
        <w:trPr>
          <w:trHeight w:val="20"/>
          <w:jc w:val="center"/>
        </w:trPr>
        <w:tc>
          <w:tcPr>
            <w:tcW w:w="604"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120" w:after="120"/>
              <w:ind w:left="-57" w:right="-57"/>
              <w:jc w:val="center"/>
              <w:rPr>
                <w:color w:val="000000"/>
              </w:rPr>
            </w:pPr>
            <w:r w:rsidRPr="00275BAF">
              <w:rPr>
                <w:color w:val="000000"/>
              </w:rPr>
              <w:t>2</w:t>
            </w:r>
          </w:p>
        </w:tc>
        <w:tc>
          <w:tcPr>
            <w:tcW w:w="6096" w:type="dxa"/>
            <w:tcBorders>
              <w:top w:val="single" w:sz="4" w:space="0" w:color="auto"/>
              <w:left w:val="single" w:sz="4" w:space="0" w:color="auto"/>
              <w:bottom w:val="nil"/>
              <w:right w:val="nil"/>
            </w:tcBorders>
            <w:shd w:val="clear" w:color="auto" w:fill="FFFFFF"/>
          </w:tcPr>
          <w:p w:rsidR="00032B88" w:rsidRPr="00275BAF" w:rsidRDefault="00032B88" w:rsidP="0037280F">
            <w:pPr>
              <w:spacing w:before="120" w:after="120"/>
              <w:rPr>
                <w:color w:val="000000"/>
                <w:vertAlign w:val="superscript"/>
              </w:rPr>
            </w:pPr>
            <w:r w:rsidRPr="00275BAF">
              <w:rPr>
                <w:color w:val="000000"/>
              </w:rPr>
              <w:t>Nhiệt độ vùng đốt sơ cấp</w:t>
            </w:r>
            <w:r w:rsidRPr="00275BAF">
              <w:rPr>
                <w:color w:val="000000"/>
                <w:vertAlign w:val="superscript"/>
              </w:rPr>
              <w:t>(2)</w:t>
            </w:r>
          </w:p>
        </w:tc>
        <w:tc>
          <w:tcPr>
            <w:tcW w:w="992"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120" w:after="120"/>
              <w:jc w:val="center"/>
              <w:rPr>
                <w:color w:val="000000"/>
              </w:rPr>
            </w:pPr>
            <w:r w:rsidRPr="00275BAF">
              <w:rPr>
                <w:color w:val="000000"/>
              </w:rPr>
              <w:t>°C</w:t>
            </w:r>
          </w:p>
        </w:tc>
        <w:tc>
          <w:tcPr>
            <w:tcW w:w="1454" w:type="dxa"/>
            <w:tcBorders>
              <w:top w:val="single" w:sz="4" w:space="0" w:color="auto"/>
              <w:left w:val="single" w:sz="4" w:space="0" w:color="auto"/>
              <w:bottom w:val="nil"/>
              <w:right w:val="single" w:sz="4" w:space="0" w:color="auto"/>
            </w:tcBorders>
            <w:shd w:val="clear" w:color="auto" w:fill="FFFFFF"/>
            <w:vAlign w:val="center"/>
          </w:tcPr>
          <w:p w:rsidR="00032B88" w:rsidRPr="00275BAF" w:rsidRDefault="00032B88" w:rsidP="0037280F">
            <w:pPr>
              <w:spacing w:before="120" w:after="120"/>
              <w:jc w:val="center"/>
              <w:rPr>
                <w:color w:val="000000"/>
              </w:rPr>
            </w:pPr>
            <w:r w:rsidRPr="00275BAF">
              <w:rPr>
                <w:color w:val="000000"/>
              </w:rPr>
              <w:sym w:font="Symbol" w:char="F0B3"/>
            </w:r>
            <w:r w:rsidRPr="00275BAF">
              <w:rPr>
                <w:color w:val="000000"/>
              </w:rPr>
              <w:t xml:space="preserve"> 400</w:t>
            </w:r>
          </w:p>
        </w:tc>
      </w:tr>
      <w:tr w:rsidR="00032B88" w:rsidRPr="00275BAF" w:rsidTr="0037280F">
        <w:trPr>
          <w:trHeight w:val="20"/>
          <w:jc w:val="center"/>
        </w:trPr>
        <w:tc>
          <w:tcPr>
            <w:tcW w:w="604" w:type="dxa"/>
            <w:tcBorders>
              <w:top w:val="single" w:sz="4" w:space="0" w:color="auto"/>
              <w:left w:val="single" w:sz="4" w:space="0" w:color="auto"/>
              <w:right w:val="nil"/>
            </w:tcBorders>
            <w:shd w:val="clear" w:color="auto" w:fill="FFFFFF"/>
            <w:vAlign w:val="center"/>
          </w:tcPr>
          <w:p w:rsidR="00032B88" w:rsidRPr="00275BAF" w:rsidRDefault="00032B88" w:rsidP="0037280F">
            <w:pPr>
              <w:spacing w:before="120" w:after="120"/>
              <w:ind w:left="-57" w:right="-57"/>
              <w:jc w:val="center"/>
              <w:rPr>
                <w:color w:val="000000"/>
              </w:rPr>
            </w:pPr>
            <w:r w:rsidRPr="00275BAF">
              <w:rPr>
                <w:color w:val="000000"/>
              </w:rPr>
              <w:t>3</w:t>
            </w:r>
          </w:p>
        </w:tc>
        <w:tc>
          <w:tcPr>
            <w:tcW w:w="6096"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120" w:after="120"/>
              <w:rPr>
                <w:color w:val="000000"/>
              </w:rPr>
            </w:pPr>
            <w:r w:rsidRPr="00275BAF">
              <w:rPr>
                <w:color w:val="000000"/>
              </w:rPr>
              <w:t>Nhiệt độ vùng đốt thứ cấp</w:t>
            </w:r>
          </w:p>
        </w:tc>
        <w:tc>
          <w:tcPr>
            <w:tcW w:w="992" w:type="dxa"/>
            <w:tcBorders>
              <w:top w:val="single" w:sz="4" w:space="0" w:color="auto"/>
              <w:left w:val="single" w:sz="4" w:space="0" w:color="auto"/>
              <w:right w:val="nil"/>
            </w:tcBorders>
            <w:shd w:val="clear" w:color="auto" w:fill="FFFFFF"/>
            <w:vAlign w:val="center"/>
          </w:tcPr>
          <w:p w:rsidR="00032B88" w:rsidRPr="00275BAF" w:rsidRDefault="00032B88" w:rsidP="0037280F">
            <w:pPr>
              <w:spacing w:before="120" w:after="120"/>
              <w:jc w:val="center"/>
              <w:rPr>
                <w:color w:val="000000"/>
              </w:rPr>
            </w:pPr>
            <w:r w:rsidRPr="00275BAF">
              <w:rPr>
                <w:color w:val="000000"/>
              </w:rPr>
              <w:t>°C</w:t>
            </w:r>
          </w:p>
        </w:tc>
        <w:tc>
          <w:tcPr>
            <w:tcW w:w="1454" w:type="dxa"/>
            <w:tcBorders>
              <w:top w:val="single" w:sz="4" w:space="0" w:color="auto"/>
              <w:left w:val="single" w:sz="4" w:space="0" w:color="auto"/>
              <w:bottom w:val="nil"/>
              <w:right w:val="single" w:sz="4" w:space="0" w:color="auto"/>
            </w:tcBorders>
            <w:shd w:val="clear" w:color="auto" w:fill="FFFFFF"/>
            <w:vAlign w:val="center"/>
          </w:tcPr>
          <w:p w:rsidR="00032B88" w:rsidRPr="00275BAF" w:rsidRDefault="00032B88" w:rsidP="0037280F">
            <w:pPr>
              <w:spacing w:before="120" w:after="120"/>
              <w:jc w:val="center"/>
              <w:rPr>
                <w:color w:val="000000"/>
              </w:rPr>
            </w:pPr>
            <w:r w:rsidRPr="00275BAF">
              <w:rPr>
                <w:color w:val="000000"/>
              </w:rPr>
              <w:sym w:font="Symbol" w:char="F0B3"/>
            </w:r>
            <w:r w:rsidRPr="00275BAF">
              <w:rPr>
                <w:color w:val="000000"/>
              </w:rPr>
              <w:t xml:space="preserve"> 950</w:t>
            </w:r>
          </w:p>
        </w:tc>
      </w:tr>
      <w:tr w:rsidR="00032B88" w:rsidRPr="00275BAF" w:rsidTr="0037280F">
        <w:trPr>
          <w:trHeight w:val="20"/>
          <w:jc w:val="center"/>
        </w:trPr>
        <w:tc>
          <w:tcPr>
            <w:tcW w:w="604"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120" w:after="120"/>
              <w:ind w:left="-57" w:right="-57"/>
              <w:jc w:val="center"/>
              <w:rPr>
                <w:color w:val="000000"/>
              </w:rPr>
            </w:pPr>
            <w:r w:rsidRPr="00275BAF">
              <w:rPr>
                <w:color w:val="000000"/>
              </w:rPr>
              <w:t>4</w:t>
            </w:r>
          </w:p>
        </w:tc>
        <w:tc>
          <w:tcPr>
            <w:tcW w:w="6096" w:type="dxa"/>
            <w:tcBorders>
              <w:top w:val="single" w:sz="4" w:space="0" w:color="auto"/>
              <w:left w:val="single" w:sz="4" w:space="0" w:color="auto"/>
              <w:bottom w:val="nil"/>
              <w:right w:val="nil"/>
            </w:tcBorders>
            <w:shd w:val="clear" w:color="auto" w:fill="FFFFFF"/>
          </w:tcPr>
          <w:p w:rsidR="00032B88" w:rsidRPr="00275BAF" w:rsidRDefault="00032B88" w:rsidP="0037280F">
            <w:pPr>
              <w:spacing w:before="120" w:after="120"/>
              <w:rPr>
                <w:color w:val="000000"/>
              </w:rPr>
            </w:pPr>
            <w:r w:rsidRPr="00275BAF">
              <w:rPr>
                <w:color w:val="000000"/>
              </w:rPr>
              <w:t>Thời gian lưu cháy</w:t>
            </w:r>
          </w:p>
        </w:tc>
        <w:tc>
          <w:tcPr>
            <w:tcW w:w="992"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120" w:after="120"/>
              <w:jc w:val="center"/>
              <w:rPr>
                <w:color w:val="000000"/>
              </w:rPr>
            </w:pPr>
            <w:r w:rsidRPr="00275BAF">
              <w:rPr>
                <w:color w:val="000000"/>
              </w:rPr>
              <w:t>s</w:t>
            </w:r>
          </w:p>
        </w:tc>
        <w:tc>
          <w:tcPr>
            <w:tcW w:w="1454" w:type="dxa"/>
            <w:tcBorders>
              <w:top w:val="single" w:sz="4" w:space="0" w:color="auto"/>
              <w:left w:val="single" w:sz="4" w:space="0" w:color="auto"/>
              <w:bottom w:val="nil"/>
              <w:right w:val="single" w:sz="4" w:space="0" w:color="auto"/>
            </w:tcBorders>
            <w:shd w:val="clear" w:color="auto" w:fill="FFFFFF"/>
            <w:vAlign w:val="center"/>
          </w:tcPr>
          <w:p w:rsidR="00032B88" w:rsidRPr="00275BAF" w:rsidRDefault="00032B88" w:rsidP="0037280F">
            <w:pPr>
              <w:spacing w:before="120" w:after="120"/>
              <w:jc w:val="center"/>
              <w:rPr>
                <w:color w:val="000000"/>
              </w:rPr>
            </w:pPr>
            <w:r w:rsidRPr="00275BAF">
              <w:rPr>
                <w:color w:val="000000"/>
              </w:rPr>
              <w:sym w:font="Symbol" w:char="F0B3"/>
            </w:r>
            <w:r w:rsidRPr="00275BAF">
              <w:rPr>
                <w:color w:val="000000"/>
              </w:rPr>
              <w:t xml:space="preserve"> 2</w:t>
            </w:r>
          </w:p>
        </w:tc>
      </w:tr>
      <w:tr w:rsidR="00032B88" w:rsidRPr="00275BAF" w:rsidTr="0037280F">
        <w:trPr>
          <w:trHeight w:val="20"/>
          <w:jc w:val="center"/>
        </w:trPr>
        <w:tc>
          <w:tcPr>
            <w:tcW w:w="604"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120" w:after="120"/>
              <w:ind w:left="-57" w:right="-57"/>
              <w:jc w:val="center"/>
            </w:pPr>
            <w:r w:rsidRPr="00275BAF">
              <w:t>5</w:t>
            </w:r>
          </w:p>
        </w:tc>
        <w:tc>
          <w:tcPr>
            <w:tcW w:w="6096"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120" w:after="120"/>
            </w:pPr>
            <w:r w:rsidRPr="00275BAF">
              <w:t>Nhiệt độ khí thải (đo tại điểm lấy mẫu)</w:t>
            </w:r>
          </w:p>
        </w:tc>
        <w:tc>
          <w:tcPr>
            <w:tcW w:w="992"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120" w:after="120"/>
              <w:jc w:val="center"/>
            </w:pPr>
            <w:r w:rsidRPr="00275BAF">
              <w:t>°C</w:t>
            </w:r>
          </w:p>
        </w:tc>
        <w:tc>
          <w:tcPr>
            <w:tcW w:w="1454" w:type="dxa"/>
            <w:tcBorders>
              <w:top w:val="single" w:sz="4" w:space="0" w:color="auto"/>
              <w:left w:val="single" w:sz="4" w:space="0" w:color="auto"/>
              <w:bottom w:val="nil"/>
              <w:right w:val="single" w:sz="4" w:space="0" w:color="auto"/>
            </w:tcBorders>
            <w:shd w:val="clear" w:color="auto" w:fill="FFFFFF"/>
            <w:vAlign w:val="center"/>
          </w:tcPr>
          <w:p w:rsidR="00032B88" w:rsidRPr="00275BAF" w:rsidRDefault="00032B88" w:rsidP="0037280F">
            <w:pPr>
              <w:spacing w:before="120" w:after="120"/>
              <w:jc w:val="center"/>
            </w:pPr>
            <w:r w:rsidRPr="00275BAF">
              <w:sym w:font="Symbol" w:char="F0A3"/>
            </w:r>
            <w:r w:rsidRPr="00275BAF">
              <w:t xml:space="preserve"> 180</w:t>
            </w:r>
          </w:p>
        </w:tc>
      </w:tr>
      <w:tr w:rsidR="00032B88" w:rsidRPr="00275BAF" w:rsidTr="0037280F">
        <w:trPr>
          <w:trHeight w:val="20"/>
          <w:jc w:val="center"/>
        </w:trPr>
        <w:tc>
          <w:tcPr>
            <w:tcW w:w="604"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120" w:after="120"/>
              <w:ind w:left="-57" w:right="-57"/>
              <w:jc w:val="center"/>
              <w:rPr>
                <w:color w:val="000000"/>
              </w:rPr>
            </w:pPr>
            <w:r w:rsidRPr="00275BAF">
              <w:rPr>
                <w:color w:val="000000"/>
              </w:rPr>
              <w:t>6</w:t>
            </w:r>
          </w:p>
        </w:tc>
        <w:tc>
          <w:tcPr>
            <w:tcW w:w="6096"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120" w:after="120"/>
              <w:rPr>
                <w:color w:val="000000"/>
              </w:rPr>
            </w:pPr>
            <w:r w:rsidRPr="00275BAF">
              <w:rPr>
                <w:color w:val="000000"/>
              </w:rPr>
              <w:t>Lượng oxy dư (đo tại điểm lấy mẫu)</w:t>
            </w:r>
          </w:p>
        </w:tc>
        <w:tc>
          <w:tcPr>
            <w:tcW w:w="992"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120" w:after="120"/>
              <w:jc w:val="center"/>
              <w:rPr>
                <w:color w:val="000000"/>
              </w:rPr>
            </w:pPr>
            <w:r w:rsidRPr="00275BAF">
              <w:rPr>
                <w:color w:val="000000"/>
              </w:rPr>
              <w:t>%</w:t>
            </w:r>
          </w:p>
        </w:tc>
        <w:tc>
          <w:tcPr>
            <w:tcW w:w="1454" w:type="dxa"/>
            <w:tcBorders>
              <w:top w:val="single" w:sz="4" w:space="0" w:color="auto"/>
              <w:left w:val="single" w:sz="4" w:space="0" w:color="auto"/>
              <w:bottom w:val="nil"/>
              <w:right w:val="single" w:sz="4" w:space="0" w:color="auto"/>
            </w:tcBorders>
            <w:shd w:val="clear" w:color="auto" w:fill="FFFFFF"/>
            <w:vAlign w:val="center"/>
          </w:tcPr>
          <w:p w:rsidR="00032B88" w:rsidRPr="00275BAF" w:rsidRDefault="00032B88" w:rsidP="0037280F">
            <w:pPr>
              <w:spacing w:before="120" w:after="120"/>
              <w:jc w:val="center"/>
              <w:rPr>
                <w:color w:val="000000"/>
              </w:rPr>
            </w:pPr>
            <w:r w:rsidRPr="00275BAF">
              <w:rPr>
                <w:color w:val="000000"/>
              </w:rPr>
              <w:t>6 - 15</w:t>
            </w:r>
          </w:p>
        </w:tc>
      </w:tr>
      <w:tr w:rsidR="00032B88" w:rsidRPr="00275BAF" w:rsidTr="0037280F">
        <w:trPr>
          <w:trHeight w:val="20"/>
          <w:jc w:val="center"/>
        </w:trPr>
        <w:tc>
          <w:tcPr>
            <w:tcW w:w="604" w:type="dxa"/>
            <w:tcBorders>
              <w:top w:val="single" w:sz="4" w:space="0" w:color="auto"/>
              <w:left w:val="single" w:sz="4" w:space="0" w:color="auto"/>
              <w:bottom w:val="single" w:sz="4" w:space="0" w:color="auto"/>
              <w:right w:val="nil"/>
            </w:tcBorders>
            <w:shd w:val="clear" w:color="auto" w:fill="FFFFFF"/>
            <w:vAlign w:val="center"/>
          </w:tcPr>
          <w:p w:rsidR="00032B88" w:rsidRPr="00275BAF" w:rsidRDefault="00032B88" w:rsidP="0037280F">
            <w:pPr>
              <w:spacing w:before="120" w:after="120"/>
              <w:ind w:left="-57" w:right="-57"/>
              <w:jc w:val="center"/>
              <w:rPr>
                <w:color w:val="000000"/>
              </w:rPr>
            </w:pPr>
            <w:r w:rsidRPr="00275BAF">
              <w:rPr>
                <w:color w:val="000000"/>
              </w:rPr>
              <w:t>7</w:t>
            </w:r>
          </w:p>
        </w:tc>
        <w:tc>
          <w:tcPr>
            <w:tcW w:w="6096" w:type="dxa"/>
            <w:tcBorders>
              <w:top w:val="single" w:sz="4" w:space="0" w:color="auto"/>
              <w:left w:val="single" w:sz="4" w:space="0" w:color="auto"/>
              <w:bottom w:val="single" w:sz="4" w:space="0" w:color="auto"/>
              <w:right w:val="nil"/>
            </w:tcBorders>
            <w:shd w:val="clear" w:color="auto" w:fill="FFFFFF"/>
          </w:tcPr>
          <w:p w:rsidR="00032B88" w:rsidRPr="00275BAF" w:rsidRDefault="00032B88" w:rsidP="0037280F">
            <w:pPr>
              <w:spacing w:before="120" w:after="120"/>
              <w:rPr>
                <w:color w:val="000000"/>
              </w:rPr>
            </w:pPr>
            <w:r w:rsidRPr="00275BAF">
              <w:rPr>
                <w:color w:val="000000"/>
              </w:rPr>
              <w:t>Nhiệt độ bên ngoài vỏ lò đốt CTRSH (hoặc lớp chắn cách ly nhiệt)</w:t>
            </w:r>
          </w:p>
        </w:tc>
        <w:tc>
          <w:tcPr>
            <w:tcW w:w="992" w:type="dxa"/>
            <w:tcBorders>
              <w:top w:val="single" w:sz="4" w:space="0" w:color="auto"/>
              <w:left w:val="single" w:sz="4" w:space="0" w:color="auto"/>
              <w:bottom w:val="single" w:sz="4" w:space="0" w:color="auto"/>
              <w:right w:val="nil"/>
            </w:tcBorders>
            <w:shd w:val="clear" w:color="auto" w:fill="FFFFFF"/>
            <w:vAlign w:val="center"/>
          </w:tcPr>
          <w:p w:rsidR="00032B88" w:rsidRPr="00275BAF" w:rsidRDefault="00032B88" w:rsidP="0037280F">
            <w:pPr>
              <w:spacing w:before="120" w:after="120"/>
              <w:jc w:val="center"/>
              <w:rPr>
                <w:color w:val="000000"/>
              </w:rPr>
            </w:pPr>
            <w:r w:rsidRPr="00275BAF">
              <w:rPr>
                <w:color w:val="000000"/>
              </w:rPr>
              <w:t>°C</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032B88" w:rsidRPr="00275BAF" w:rsidRDefault="00032B88" w:rsidP="0037280F">
            <w:pPr>
              <w:spacing w:before="120" w:after="120"/>
              <w:jc w:val="center"/>
              <w:rPr>
                <w:color w:val="000000"/>
              </w:rPr>
            </w:pPr>
            <w:r w:rsidRPr="00275BAF">
              <w:rPr>
                <w:color w:val="000000"/>
              </w:rPr>
              <w:sym w:font="Symbol" w:char="F0A3"/>
            </w:r>
            <w:r w:rsidRPr="00275BAF">
              <w:rPr>
                <w:color w:val="000000"/>
              </w:rPr>
              <w:t xml:space="preserve"> 60</w:t>
            </w:r>
          </w:p>
        </w:tc>
      </w:tr>
      <w:tr w:rsidR="00032B88" w:rsidRPr="00275BAF" w:rsidTr="0037280F">
        <w:trPr>
          <w:trHeight w:val="20"/>
          <w:jc w:val="center"/>
        </w:trPr>
        <w:tc>
          <w:tcPr>
            <w:tcW w:w="604" w:type="dxa"/>
            <w:tcBorders>
              <w:top w:val="single" w:sz="4" w:space="0" w:color="auto"/>
              <w:left w:val="single" w:sz="4" w:space="0" w:color="auto"/>
              <w:bottom w:val="single" w:sz="4" w:space="0" w:color="auto"/>
              <w:right w:val="nil"/>
            </w:tcBorders>
            <w:shd w:val="clear" w:color="auto" w:fill="FFFFFF"/>
            <w:vAlign w:val="center"/>
          </w:tcPr>
          <w:p w:rsidR="00032B88" w:rsidRPr="00275BAF" w:rsidRDefault="00032B88" w:rsidP="0037280F">
            <w:pPr>
              <w:spacing w:before="120" w:after="120"/>
              <w:ind w:left="-57" w:right="-57"/>
              <w:jc w:val="center"/>
              <w:rPr>
                <w:color w:val="000000"/>
              </w:rPr>
            </w:pPr>
            <w:r w:rsidRPr="00275BAF">
              <w:rPr>
                <w:color w:val="000000"/>
              </w:rPr>
              <w:t>8</w:t>
            </w:r>
          </w:p>
        </w:tc>
        <w:tc>
          <w:tcPr>
            <w:tcW w:w="6096" w:type="dxa"/>
            <w:tcBorders>
              <w:top w:val="single" w:sz="4" w:space="0" w:color="auto"/>
              <w:left w:val="single" w:sz="4" w:space="0" w:color="auto"/>
              <w:bottom w:val="single" w:sz="4" w:space="0" w:color="auto"/>
              <w:right w:val="nil"/>
            </w:tcBorders>
            <w:shd w:val="clear" w:color="auto" w:fill="FFFFFF"/>
          </w:tcPr>
          <w:p w:rsidR="00032B88" w:rsidRPr="00275BAF" w:rsidRDefault="00032B88" w:rsidP="0037280F">
            <w:pPr>
              <w:spacing w:before="120" w:after="120"/>
              <w:rPr>
                <w:color w:val="000000"/>
                <w:vertAlign w:val="superscript"/>
              </w:rPr>
            </w:pPr>
            <w:r w:rsidRPr="00275BAF">
              <w:rPr>
                <w:color w:val="000000"/>
              </w:rPr>
              <w:t>Khả năng hoạt động liên tục (mà vẫn bảo đảm về độ bền cơ khí và các thông số kỹ thuật)</w:t>
            </w:r>
            <w:r w:rsidRPr="00275BAF">
              <w:rPr>
                <w:color w:val="000000"/>
                <w:vertAlign w:val="superscript"/>
              </w:rPr>
              <w:t>(3)</w:t>
            </w:r>
          </w:p>
        </w:tc>
        <w:tc>
          <w:tcPr>
            <w:tcW w:w="992" w:type="dxa"/>
            <w:tcBorders>
              <w:top w:val="single" w:sz="4" w:space="0" w:color="auto"/>
              <w:left w:val="single" w:sz="4" w:space="0" w:color="auto"/>
              <w:bottom w:val="single" w:sz="4" w:space="0" w:color="auto"/>
              <w:right w:val="nil"/>
            </w:tcBorders>
            <w:shd w:val="clear" w:color="auto" w:fill="FFFFFF"/>
            <w:vAlign w:val="center"/>
          </w:tcPr>
          <w:p w:rsidR="00032B88" w:rsidRPr="00275BAF" w:rsidRDefault="00032B88" w:rsidP="0037280F">
            <w:pPr>
              <w:spacing w:before="120" w:after="120"/>
              <w:jc w:val="center"/>
              <w:rPr>
                <w:color w:val="000000"/>
              </w:rPr>
            </w:pPr>
            <w:r w:rsidRPr="00275BAF">
              <w:rPr>
                <w:color w:val="000000"/>
              </w:rPr>
              <w:t>h</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032B88" w:rsidRPr="00275BAF" w:rsidRDefault="00032B88" w:rsidP="0037280F">
            <w:pPr>
              <w:spacing w:before="120" w:after="120"/>
              <w:jc w:val="center"/>
              <w:rPr>
                <w:color w:val="000000"/>
              </w:rPr>
            </w:pPr>
            <w:r w:rsidRPr="00275BAF">
              <w:rPr>
                <w:color w:val="000000"/>
              </w:rPr>
              <w:sym w:font="Symbol" w:char="F0B3"/>
            </w:r>
            <w:r w:rsidRPr="00275BAF">
              <w:rPr>
                <w:color w:val="000000"/>
              </w:rPr>
              <w:t xml:space="preserve"> 72</w:t>
            </w:r>
          </w:p>
        </w:tc>
      </w:tr>
      <w:tr w:rsidR="00032B88" w:rsidRPr="00275BAF" w:rsidTr="0037280F">
        <w:trPr>
          <w:trHeight w:val="20"/>
          <w:jc w:val="center"/>
        </w:trPr>
        <w:tc>
          <w:tcPr>
            <w:tcW w:w="914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32B88" w:rsidRPr="00275BAF" w:rsidRDefault="00032B88" w:rsidP="0037280F">
            <w:pPr>
              <w:spacing w:before="120" w:after="120"/>
              <w:jc w:val="both"/>
              <w:rPr>
                <w:b/>
                <w:i/>
                <w:color w:val="000000"/>
              </w:rPr>
            </w:pPr>
            <w:r w:rsidRPr="00275BAF">
              <w:rPr>
                <w:b/>
                <w:i/>
                <w:color w:val="000000"/>
              </w:rPr>
              <w:t>Chú thích:</w:t>
            </w:r>
          </w:p>
          <w:p w:rsidR="00032B88" w:rsidRPr="00275BAF" w:rsidRDefault="00032B88" w:rsidP="0037280F">
            <w:pPr>
              <w:spacing w:before="120" w:after="120"/>
              <w:jc w:val="both"/>
              <w:rPr>
                <w:color w:val="000000"/>
              </w:rPr>
            </w:pPr>
            <w:r w:rsidRPr="00275BAF">
              <w:rPr>
                <w:color w:val="000000"/>
                <w:vertAlign w:val="superscript"/>
              </w:rPr>
              <w:t xml:space="preserve">(1) </w:t>
            </w:r>
            <w:r w:rsidRPr="00275BAF">
              <w:rPr>
                <w:color w:val="000000"/>
              </w:rPr>
              <w:t>Công suất 300 (ba trăm) kg/h tương đương thể tích tối thiểu của vùng đốt sơ cấp là 2,4 (hai phẩy bốn) m</w:t>
            </w:r>
            <w:r w:rsidRPr="00275BAF">
              <w:rPr>
                <w:color w:val="000000"/>
                <w:vertAlign w:val="superscript"/>
              </w:rPr>
              <w:t>3</w:t>
            </w:r>
            <w:r w:rsidRPr="00275BAF">
              <w:rPr>
                <w:color w:val="000000"/>
              </w:rPr>
              <w:t>.</w:t>
            </w:r>
          </w:p>
          <w:p w:rsidR="00032B88" w:rsidRPr="00275BAF" w:rsidRDefault="00032B88" w:rsidP="0037280F">
            <w:pPr>
              <w:spacing w:before="120" w:after="120"/>
              <w:jc w:val="both"/>
              <w:rPr>
                <w:color w:val="000000"/>
              </w:rPr>
            </w:pPr>
            <w:r w:rsidRPr="00275BAF">
              <w:rPr>
                <w:color w:val="000000"/>
                <w:vertAlign w:val="superscript"/>
              </w:rPr>
              <w:t xml:space="preserve">(2) </w:t>
            </w:r>
            <w:r w:rsidRPr="00275BAF">
              <w:rPr>
                <w:color w:val="000000"/>
              </w:rPr>
              <w:t xml:space="preserve">Trường hợp đặc thù (như đốt nhiệt phân yếm khí) thì vùng đốt sơ cấp có thể vận hành ở nhiệt độ thấp hơn 400 (bốn trăm) </w:t>
            </w:r>
            <w:r w:rsidRPr="00275BAF">
              <w:rPr>
                <w:color w:val="000000"/>
                <w:vertAlign w:val="superscript"/>
              </w:rPr>
              <w:t>0</w:t>
            </w:r>
            <w:r w:rsidRPr="00275BAF">
              <w:rPr>
                <w:color w:val="000000"/>
              </w:rPr>
              <w:t>C với điều kiện vận hành thử nghiệm đạt yêu cầu tại Mục 2.2 Quy chuẩn này và được sự chấp thuận của cơ quan có thẩm quyền xác nhận bảo đảm yêu cầu bảo vệ môi trường đối với cơ sở xử lý CTRSH.</w:t>
            </w:r>
          </w:p>
          <w:p w:rsidR="00032B88" w:rsidRPr="00275BAF" w:rsidRDefault="00032B88" w:rsidP="0037280F">
            <w:pPr>
              <w:spacing w:before="120" w:after="120"/>
              <w:jc w:val="both"/>
              <w:rPr>
                <w:color w:val="000000"/>
              </w:rPr>
            </w:pPr>
            <w:r w:rsidRPr="00275BAF">
              <w:rPr>
                <w:color w:val="000000"/>
                <w:vertAlign w:val="superscript"/>
              </w:rPr>
              <w:lastRenderedPageBreak/>
              <w:t xml:space="preserve">(3) </w:t>
            </w:r>
            <w:r w:rsidRPr="00275BAF">
              <w:rPr>
                <w:color w:val="000000"/>
              </w:rPr>
              <w:t>Việc đánh giá thông số này chỉ áp dụng trong quá trình kiểm tra, xác nhận bảo đảm yêu cầu bảo vệ môi trường đối với cơ sở xử lý CTRSH.</w:t>
            </w:r>
          </w:p>
        </w:tc>
      </w:tr>
    </w:tbl>
    <w:p w:rsidR="00032B88" w:rsidRPr="00275BAF" w:rsidRDefault="00032B88" w:rsidP="00032B88">
      <w:pPr>
        <w:pStyle w:val="ndieund"/>
        <w:spacing w:before="120" w:line="288" w:lineRule="auto"/>
        <w:ind w:right="28"/>
        <w:rPr>
          <w:rFonts w:ascii="Times New Roman" w:hAnsi="Times New Roman"/>
          <w:spacing w:val="8"/>
          <w:szCs w:val="28"/>
        </w:rPr>
      </w:pPr>
      <w:r w:rsidRPr="00275BAF">
        <w:rPr>
          <w:rFonts w:ascii="Times New Roman" w:hAnsi="Times New Roman"/>
          <w:spacing w:val="8"/>
          <w:szCs w:val="28"/>
        </w:rPr>
        <w:lastRenderedPageBreak/>
        <w:t>2.1.5. Không được trộn không khí bên ngoài vào để pha loãng khí thải kể từ điểm ra của vùng đốt thứ cấp đến vị trí có độ cao 02 (hai) m phía trên điểm lấy mẫu khí thải.</w:t>
      </w:r>
    </w:p>
    <w:p w:rsidR="00032B88" w:rsidRPr="00275BAF" w:rsidRDefault="00032B88" w:rsidP="00032B88">
      <w:pPr>
        <w:pStyle w:val="ndieund"/>
        <w:spacing w:before="120" w:line="288" w:lineRule="auto"/>
        <w:ind w:right="28"/>
        <w:rPr>
          <w:rFonts w:ascii="Times New Roman" w:hAnsi="Times New Roman"/>
          <w:spacing w:val="8"/>
          <w:szCs w:val="28"/>
        </w:rPr>
      </w:pPr>
      <w:r w:rsidRPr="00275BAF">
        <w:rPr>
          <w:rFonts w:ascii="Times New Roman" w:hAnsi="Times New Roman"/>
          <w:spacing w:val="8"/>
          <w:szCs w:val="28"/>
        </w:rPr>
        <w:t>2.1.6. Lò đốt phải có hệ thống xử lý khí thải với quy trình hoạt động bao gồm các công đoạn chính sau:</w:t>
      </w:r>
    </w:p>
    <w:p w:rsidR="00032B88" w:rsidRPr="00275BAF" w:rsidRDefault="00032B88" w:rsidP="00032B88">
      <w:pPr>
        <w:pStyle w:val="ndieund"/>
        <w:spacing w:before="120" w:line="288" w:lineRule="auto"/>
        <w:ind w:right="28"/>
        <w:rPr>
          <w:rFonts w:ascii="Times New Roman" w:hAnsi="Times New Roman"/>
          <w:spacing w:val="8"/>
          <w:szCs w:val="28"/>
        </w:rPr>
      </w:pPr>
      <w:r w:rsidRPr="00275BAF">
        <w:rPr>
          <w:rFonts w:ascii="Times New Roman" w:hAnsi="Times New Roman"/>
          <w:spacing w:val="8"/>
          <w:szCs w:val="28"/>
        </w:rPr>
        <w:t>a) Giải nhiệt (hạ nhanh nhiệt độ);</w:t>
      </w:r>
    </w:p>
    <w:p w:rsidR="00032B88" w:rsidRPr="00275BAF" w:rsidRDefault="00032B88" w:rsidP="00032B88">
      <w:pPr>
        <w:pStyle w:val="ndieund"/>
        <w:spacing w:before="120" w:line="288" w:lineRule="auto"/>
        <w:ind w:right="28"/>
        <w:rPr>
          <w:rFonts w:ascii="Times New Roman" w:hAnsi="Times New Roman"/>
          <w:spacing w:val="8"/>
          <w:szCs w:val="28"/>
        </w:rPr>
      </w:pPr>
      <w:r w:rsidRPr="00275BAF">
        <w:rPr>
          <w:rFonts w:ascii="Times New Roman" w:hAnsi="Times New Roman"/>
          <w:spacing w:val="8"/>
          <w:szCs w:val="28"/>
        </w:rPr>
        <w:t>b) Xử lý bụi;</w:t>
      </w:r>
    </w:p>
    <w:p w:rsidR="00032B88" w:rsidRPr="00275BAF" w:rsidRDefault="00032B88" w:rsidP="00032B88">
      <w:pPr>
        <w:pStyle w:val="ndieund"/>
        <w:spacing w:before="120" w:line="288" w:lineRule="auto"/>
        <w:ind w:right="28"/>
        <w:rPr>
          <w:rFonts w:ascii="Times New Roman" w:hAnsi="Times New Roman"/>
          <w:spacing w:val="8"/>
          <w:szCs w:val="28"/>
        </w:rPr>
      </w:pPr>
      <w:r w:rsidRPr="00275BAF">
        <w:rPr>
          <w:rFonts w:ascii="Times New Roman" w:hAnsi="Times New Roman"/>
          <w:spacing w:val="8"/>
          <w:szCs w:val="28"/>
        </w:rPr>
        <w:t>c) Xử lý các thành phần độc hại trong khí thải.</w:t>
      </w:r>
    </w:p>
    <w:p w:rsidR="00032B88" w:rsidRPr="00275BAF" w:rsidRDefault="00032B88" w:rsidP="00032B88">
      <w:pPr>
        <w:pStyle w:val="ndieund"/>
        <w:spacing w:before="120" w:line="288" w:lineRule="auto"/>
        <w:ind w:right="28"/>
        <w:rPr>
          <w:rFonts w:ascii="Times New Roman" w:hAnsi="Times New Roman"/>
          <w:spacing w:val="8"/>
          <w:szCs w:val="28"/>
        </w:rPr>
      </w:pPr>
      <w:r w:rsidRPr="00275BAF">
        <w:rPr>
          <w:rFonts w:ascii="Times New Roman" w:hAnsi="Times New Roman"/>
          <w:spacing w:val="8"/>
          <w:szCs w:val="28"/>
        </w:rPr>
        <w:t>Các công đoạn nêu trên được thực hiện riêng trong từng thiết bị hoặc kết hợp đồng thời chung thiết bị.</w:t>
      </w:r>
    </w:p>
    <w:p w:rsidR="00032B88" w:rsidRPr="00275BAF" w:rsidRDefault="00032B88" w:rsidP="00032B88">
      <w:pPr>
        <w:pStyle w:val="ndieund"/>
        <w:spacing w:before="120" w:line="288" w:lineRule="auto"/>
        <w:ind w:right="28"/>
        <w:rPr>
          <w:rFonts w:ascii="Times New Roman" w:hAnsi="Times New Roman"/>
          <w:spacing w:val="8"/>
          <w:szCs w:val="28"/>
          <w:lang w:val="pt-BR"/>
        </w:rPr>
      </w:pPr>
      <w:r w:rsidRPr="00275BAF">
        <w:rPr>
          <w:rFonts w:ascii="Times New Roman" w:hAnsi="Times New Roman"/>
          <w:spacing w:val="8"/>
          <w:szCs w:val="28"/>
          <w:lang w:val="pt-BR"/>
        </w:rPr>
        <w:lastRenderedPageBreak/>
        <w:t>2.1.7. Trường hợp lò đốt CTRSH có khoảng cách từ cửa nạp chất thải đến điểm xa nhất của vùng đốt sơ cấp lớn hơn 02 (hai) m thì phải lắp đặt thiết bị cơ khí hóa cho việc nạp, đảo trộn CTRSH trong vùng đốt sơ cấp (trừ trường hợp công nghệ đặc thù không yêu cầu đảo trộn như khí hóa) và hệ thống cơ khí hóa để lấy tro xỉ.</w:t>
      </w:r>
    </w:p>
    <w:p w:rsidR="00032B88" w:rsidRPr="00275BAF" w:rsidRDefault="00032B88" w:rsidP="00032B88">
      <w:pPr>
        <w:pStyle w:val="ndieund"/>
        <w:spacing w:before="120" w:line="288" w:lineRule="auto"/>
        <w:ind w:right="28"/>
        <w:rPr>
          <w:rFonts w:ascii="Times New Roman" w:hAnsi="Times New Roman"/>
          <w:spacing w:val="8"/>
          <w:szCs w:val="28"/>
          <w:lang w:val="vi-VN"/>
        </w:rPr>
      </w:pPr>
      <w:r w:rsidRPr="00275BAF">
        <w:rPr>
          <w:rFonts w:ascii="Times New Roman" w:hAnsi="Times New Roman"/>
          <w:spacing w:val="8"/>
          <w:szCs w:val="28"/>
          <w:lang w:val="pt-BR"/>
        </w:rPr>
        <w:t>2</w:t>
      </w:r>
      <w:r w:rsidRPr="00275BAF">
        <w:rPr>
          <w:rFonts w:ascii="Times New Roman" w:hAnsi="Times New Roman"/>
          <w:spacing w:val="8"/>
          <w:szCs w:val="28"/>
          <w:lang w:val="vi-VN"/>
        </w:rPr>
        <w:t>.</w:t>
      </w:r>
      <w:r w:rsidRPr="00275BAF">
        <w:rPr>
          <w:rFonts w:ascii="Times New Roman" w:hAnsi="Times New Roman"/>
          <w:spacing w:val="8"/>
          <w:szCs w:val="28"/>
          <w:lang w:val="pt-BR"/>
        </w:rPr>
        <w:t>1</w:t>
      </w:r>
      <w:r w:rsidRPr="00275BAF">
        <w:rPr>
          <w:rFonts w:ascii="Times New Roman" w:hAnsi="Times New Roman"/>
          <w:spacing w:val="8"/>
          <w:szCs w:val="28"/>
          <w:lang w:val="vi-VN"/>
        </w:rPr>
        <w:t>.</w:t>
      </w:r>
      <w:r w:rsidRPr="00275BAF">
        <w:rPr>
          <w:rFonts w:ascii="Times New Roman" w:hAnsi="Times New Roman"/>
          <w:spacing w:val="8"/>
          <w:szCs w:val="28"/>
          <w:lang w:val="pt-BR"/>
        </w:rPr>
        <w:t>8</w:t>
      </w:r>
      <w:r w:rsidRPr="00275BAF">
        <w:rPr>
          <w:rFonts w:ascii="Times New Roman" w:hAnsi="Times New Roman"/>
          <w:spacing w:val="8"/>
          <w:szCs w:val="28"/>
          <w:lang w:val="vi-VN"/>
        </w:rPr>
        <w:t xml:space="preserve">. Lò đốt CTRSH phải có van xả tắt (by-pass) để xả khí thải trực tiếp ra ống khói mà không qua hệ thống xử lý khí thải khi có sự cố đối với hệ thống xử lý khí thải. Van xả tắt phải có cần điều khiển bằng tay hoặc tự động ở độ cao vừa với người đứng, bảo đảm thao tác thuận lợi, kịp thời khi có sự cố mà không phải trèo lên lò đốt CTRSH. Phải ngừng nạp CTRSH ngay sau khi sử dụng van xả tắt. </w:t>
      </w:r>
    </w:p>
    <w:p w:rsidR="00032B88" w:rsidRPr="00275BAF" w:rsidRDefault="00032B88" w:rsidP="00032B88">
      <w:pPr>
        <w:spacing w:before="120" w:after="120" w:line="288" w:lineRule="auto"/>
        <w:ind w:firstLine="720"/>
        <w:rPr>
          <w:b/>
          <w:bCs/>
        </w:rPr>
      </w:pPr>
      <w:r w:rsidRPr="00275BAF">
        <w:rPr>
          <w:b/>
          <w:bCs/>
        </w:rPr>
        <w:lastRenderedPageBreak/>
        <w:t>2.2. Giá trị tối đa cho phép của các thông số ô nhiễm trong khí thải lò đốt chất thải rắn sinh hoạt</w:t>
      </w:r>
    </w:p>
    <w:p w:rsidR="00032B88" w:rsidRPr="00275BAF" w:rsidRDefault="00032B88" w:rsidP="00032B88">
      <w:pPr>
        <w:pStyle w:val="ndieund"/>
        <w:spacing w:before="120" w:line="288" w:lineRule="auto"/>
        <w:ind w:right="28"/>
        <w:rPr>
          <w:rFonts w:ascii="Times New Roman" w:hAnsi="Times New Roman"/>
          <w:spacing w:val="8"/>
          <w:szCs w:val="28"/>
          <w:lang w:val="vi-VN"/>
        </w:rPr>
      </w:pPr>
      <w:r w:rsidRPr="00275BAF">
        <w:rPr>
          <w:rFonts w:ascii="Times New Roman" w:hAnsi="Times New Roman"/>
          <w:spacing w:val="8"/>
          <w:szCs w:val="28"/>
          <w:lang w:val="vi-VN"/>
        </w:rPr>
        <w:t>Trong quá trình hoạt động bình thường, giá trị tối đa cho phép của các thông số ô nhiễm trong khí thải lò đốt CTRSH được tính theo công thức sau:</w:t>
      </w:r>
    </w:p>
    <w:p w:rsidR="00032B88" w:rsidRPr="00275BAF" w:rsidRDefault="00032B88" w:rsidP="00032B88">
      <w:pPr>
        <w:pStyle w:val="ndieund"/>
        <w:keepNext/>
        <w:spacing w:before="120" w:line="340" w:lineRule="atLeast"/>
        <w:ind w:right="28" w:firstLine="0"/>
        <w:jc w:val="center"/>
        <w:rPr>
          <w:rFonts w:ascii="Times New Roman" w:hAnsi="Times New Roman"/>
          <w:spacing w:val="8"/>
          <w:szCs w:val="28"/>
        </w:rPr>
      </w:pPr>
      <w:r w:rsidRPr="00275BAF">
        <w:rPr>
          <w:rFonts w:ascii="Times New Roman" w:hAnsi="Times New Roman"/>
          <w:color w:val="000000"/>
          <w:position w:val="-12"/>
        </w:rPr>
        <w:object w:dxaOrig="1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1pt" o:ole="">
            <v:imagedata r:id="rId11" o:title=""/>
          </v:shape>
          <o:OLEObject Type="Embed" ProgID="Equation.3" ShapeID="_x0000_i1025" DrawAspect="Content" ObjectID="_1519799885" r:id="rId12"/>
        </w:object>
      </w:r>
    </w:p>
    <w:p w:rsidR="00032B88" w:rsidRPr="00275BAF" w:rsidRDefault="00032B88" w:rsidP="00032B88">
      <w:pPr>
        <w:pStyle w:val="ndieund"/>
        <w:keepNext/>
        <w:spacing w:before="120" w:line="340" w:lineRule="atLeast"/>
        <w:ind w:right="28"/>
        <w:rPr>
          <w:rFonts w:ascii="Times New Roman" w:hAnsi="Times New Roman"/>
          <w:spacing w:val="8"/>
          <w:szCs w:val="28"/>
          <w:lang w:val="vi-VN"/>
        </w:rPr>
      </w:pPr>
      <w:r w:rsidRPr="00275BAF">
        <w:rPr>
          <w:rFonts w:ascii="Times New Roman" w:hAnsi="Times New Roman"/>
          <w:spacing w:val="8"/>
          <w:szCs w:val="28"/>
          <w:lang w:val="vi-VN"/>
        </w:rPr>
        <w:t>Trong đó:</w:t>
      </w:r>
    </w:p>
    <w:p w:rsidR="00032B88" w:rsidRPr="00275BAF" w:rsidRDefault="00032B88" w:rsidP="00032B88">
      <w:pPr>
        <w:pStyle w:val="ndieund"/>
        <w:spacing w:before="120" w:line="340" w:lineRule="atLeast"/>
        <w:ind w:right="28"/>
        <w:rPr>
          <w:rFonts w:ascii="Times New Roman" w:hAnsi="Times New Roman"/>
          <w:spacing w:val="8"/>
          <w:szCs w:val="28"/>
        </w:rPr>
      </w:pPr>
      <w:r w:rsidRPr="00275BAF">
        <w:rPr>
          <w:rFonts w:ascii="Times New Roman" w:hAnsi="Times New Roman"/>
          <w:spacing w:val="8"/>
          <w:szCs w:val="28"/>
        </w:rPr>
        <w:t xml:space="preserve">- </w:t>
      </w:r>
      <w:r w:rsidRPr="00275BAF">
        <w:rPr>
          <w:rFonts w:ascii="Times New Roman" w:hAnsi="Times New Roman"/>
          <w:spacing w:val="8"/>
          <w:szCs w:val="28"/>
          <w:lang w:val="vi-VN"/>
        </w:rPr>
        <w:t>C</w:t>
      </w:r>
      <w:r w:rsidRPr="00275BAF">
        <w:rPr>
          <w:rFonts w:ascii="Times New Roman" w:hAnsi="Times New Roman"/>
          <w:spacing w:val="8"/>
          <w:szCs w:val="28"/>
          <w:vertAlign w:val="subscript"/>
          <w:lang w:val="vi-VN"/>
        </w:rPr>
        <w:t>max</w:t>
      </w:r>
      <w:r w:rsidRPr="00275BAF">
        <w:rPr>
          <w:rFonts w:ascii="Times New Roman" w:hAnsi="Times New Roman"/>
          <w:spacing w:val="8"/>
          <w:szCs w:val="28"/>
          <w:vertAlign w:val="subscript"/>
        </w:rPr>
        <w:t xml:space="preserve"> </w:t>
      </w:r>
      <w:r w:rsidRPr="00275BAF">
        <w:rPr>
          <w:rFonts w:ascii="Times New Roman" w:hAnsi="Times New Roman"/>
          <w:spacing w:val="8"/>
          <w:szCs w:val="28"/>
        </w:rPr>
        <w:t xml:space="preserve"> là g</w:t>
      </w:r>
      <w:r w:rsidRPr="00275BAF">
        <w:rPr>
          <w:rFonts w:ascii="Times New Roman" w:hAnsi="Times New Roman"/>
          <w:spacing w:val="8"/>
          <w:szCs w:val="28"/>
          <w:lang w:val="vi-VN"/>
        </w:rPr>
        <w:t>iá trị tối đa cho phép</w:t>
      </w:r>
      <w:r w:rsidRPr="00275BAF">
        <w:rPr>
          <w:rFonts w:ascii="Times New Roman" w:hAnsi="Times New Roman"/>
          <w:spacing w:val="8"/>
          <w:szCs w:val="28"/>
        </w:rPr>
        <w:t xml:space="preserve"> của các thông số ô nhiễm</w:t>
      </w:r>
      <w:r w:rsidRPr="00275BAF">
        <w:rPr>
          <w:rFonts w:ascii="Times New Roman" w:hAnsi="Times New Roman"/>
          <w:spacing w:val="8"/>
          <w:szCs w:val="28"/>
          <w:lang w:val="vi-VN"/>
        </w:rPr>
        <w:t>;</w:t>
      </w:r>
    </w:p>
    <w:p w:rsidR="00032B88" w:rsidRPr="00275BAF" w:rsidRDefault="00032B88" w:rsidP="00032B88">
      <w:pPr>
        <w:pStyle w:val="ndieund"/>
        <w:spacing w:before="120" w:line="340" w:lineRule="atLeast"/>
        <w:ind w:right="28"/>
        <w:rPr>
          <w:rFonts w:ascii="Times New Roman" w:hAnsi="Times New Roman"/>
          <w:spacing w:val="8"/>
          <w:szCs w:val="28"/>
          <w:lang w:val="vi-VN"/>
        </w:rPr>
      </w:pPr>
      <w:r w:rsidRPr="00275BAF">
        <w:rPr>
          <w:rFonts w:ascii="Times New Roman" w:hAnsi="Times New Roman"/>
          <w:spacing w:val="8"/>
          <w:szCs w:val="28"/>
          <w:lang w:val="vi-VN"/>
        </w:rPr>
        <w:t>- C là nồng độ của các thông số ô nhiễm được quy định tại Bảng 2 của Quy chuẩn này;</w:t>
      </w:r>
    </w:p>
    <w:p w:rsidR="00032B88" w:rsidRPr="00275BAF" w:rsidRDefault="00032B88" w:rsidP="00032B88">
      <w:pPr>
        <w:pStyle w:val="ndieund"/>
        <w:spacing w:before="120" w:line="340" w:lineRule="atLeast"/>
        <w:ind w:right="28"/>
        <w:rPr>
          <w:rFonts w:ascii="Times New Roman" w:hAnsi="Times New Roman"/>
          <w:spacing w:val="8"/>
          <w:szCs w:val="28"/>
          <w:lang w:val="vi-VN"/>
        </w:rPr>
      </w:pPr>
      <w:r w:rsidRPr="00275BAF">
        <w:rPr>
          <w:rFonts w:ascii="Times New Roman" w:hAnsi="Times New Roman"/>
          <w:spacing w:val="8"/>
          <w:szCs w:val="28"/>
          <w:lang w:val="vi-VN"/>
        </w:rPr>
        <w:t>- K</w:t>
      </w:r>
      <w:r w:rsidRPr="00275BAF">
        <w:rPr>
          <w:rFonts w:ascii="Times New Roman" w:hAnsi="Times New Roman"/>
          <w:spacing w:val="8"/>
          <w:szCs w:val="28"/>
          <w:vertAlign w:val="subscript"/>
          <w:lang w:val="vi-VN"/>
        </w:rPr>
        <w:t>v</w:t>
      </w:r>
      <w:r w:rsidRPr="00275BAF">
        <w:rPr>
          <w:rFonts w:ascii="Times New Roman" w:hAnsi="Times New Roman"/>
          <w:spacing w:val="8"/>
          <w:szCs w:val="28"/>
          <w:lang w:val="vi-VN"/>
        </w:rPr>
        <w:t xml:space="preserve"> là hệ số vùng, khu vực được quy định</w:t>
      </w:r>
      <w:r w:rsidRPr="00275BAF">
        <w:rPr>
          <w:rFonts w:ascii="Times New Roman" w:hAnsi="Times New Roman"/>
          <w:spacing w:val="8"/>
          <w:szCs w:val="28"/>
        </w:rPr>
        <w:t xml:space="preserve"> tại</w:t>
      </w:r>
      <w:r w:rsidRPr="00275BAF">
        <w:rPr>
          <w:rFonts w:ascii="Times New Roman" w:hAnsi="Times New Roman"/>
          <w:spacing w:val="8"/>
          <w:szCs w:val="28"/>
          <w:lang w:val="vi-VN"/>
        </w:rPr>
        <w:t xml:space="preserve"> Bảng 3 của Quy chuẩn này. </w:t>
      </w:r>
    </w:p>
    <w:p w:rsidR="00032B88" w:rsidRPr="00275BAF" w:rsidRDefault="00032B88" w:rsidP="00032B88">
      <w:pPr>
        <w:spacing w:before="120" w:after="120" w:line="320" w:lineRule="atLeast"/>
        <w:jc w:val="center"/>
        <w:rPr>
          <w:b/>
          <w:bCs/>
          <w:color w:val="000000"/>
          <w:lang w:val="it-IT"/>
        </w:rPr>
      </w:pPr>
      <w:r w:rsidRPr="00275BAF">
        <w:rPr>
          <w:b/>
          <w:color w:val="000000"/>
          <w:lang w:val="it-IT"/>
        </w:rPr>
        <w:t xml:space="preserve">Bảng 2. </w:t>
      </w:r>
      <w:r w:rsidRPr="00275BAF">
        <w:rPr>
          <w:b/>
          <w:bCs/>
          <w:color w:val="000000"/>
          <w:lang w:val="it-IT"/>
        </w:rPr>
        <w:t xml:space="preserve">Nồng độ (C) của </w:t>
      </w:r>
      <w:r w:rsidRPr="00275BAF">
        <w:rPr>
          <w:b/>
          <w:color w:val="000000"/>
          <w:lang w:val="it-IT"/>
        </w:rPr>
        <w:t>các thông số ô nhiễm</w:t>
      </w:r>
      <w:r w:rsidRPr="00275BAF">
        <w:rPr>
          <w:b/>
          <w:bCs/>
          <w:color w:val="000000"/>
          <w:lang w:val="it-IT"/>
        </w:rPr>
        <w:t xml:space="preserve"> </w:t>
      </w:r>
      <w:r w:rsidRPr="00275BAF">
        <w:rPr>
          <w:b/>
          <w:color w:val="000000"/>
          <w:lang w:val="it-IT"/>
        </w:rPr>
        <w:t xml:space="preserve">trong khí thải </w:t>
      </w:r>
      <w:r w:rsidRPr="00275BAF">
        <w:rPr>
          <w:b/>
          <w:bCs/>
          <w:color w:val="000000"/>
          <w:lang w:val="it-IT"/>
        </w:rPr>
        <w:t xml:space="preserve">lò đốt </w:t>
      </w:r>
      <w:r w:rsidRPr="00275BAF">
        <w:rPr>
          <w:b/>
          <w:bCs/>
          <w:color w:val="000000"/>
          <w:lang w:val="it-IT"/>
        </w:rPr>
        <w:br/>
        <w:t>chất thải rắn sinh hoạt</w:t>
      </w:r>
    </w:p>
    <w:tbl>
      <w:tblPr>
        <w:tblW w:w="9262" w:type="dxa"/>
        <w:jc w:val="center"/>
        <w:tblLayout w:type="fixed"/>
        <w:tblCellMar>
          <w:left w:w="115" w:type="dxa"/>
          <w:right w:w="115" w:type="dxa"/>
        </w:tblCellMar>
        <w:tblLook w:val="0000" w:firstRow="0" w:lastRow="0" w:firstColumn="0" w:lastColumn="0" w:noHBand="0" w:noVBand="0"/>
      </w:tblPr>
      <w:tblGrid>
        <w:gridCol w:w="615"/>
        <w:gridCol w:w="5434"/>
        <w:gridCol w:w="1511"/>
        <w:gridCol w:w="1702"/>
      </w:tblGrid>
      <w:tr w:rsidR="00032B88" w:rsidRPr="00275BAF" w:rsidTr="0037280F">
        <w:trPr>
          <w:cantSplit/>
          <w:trHeight w:val="53"/>
          <w:tblHeader/>
          <w:jc w:val="center"/>
        </w:trPr>
        <w:tc>
          <w:tcPr>
            <w:tcW w:w="615"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60" w:after="60"/>
              <w:jc w:val="center"/>
              <w:rPr>
                <w:b/>
                <w:color w:val="000000"/>
              </w:rPr>
            </w:pPr>
            <w:r w:rsidRPr="00275BAF">
              <w:rPr>
                <w:b/>
                <w:color w:val="000000"/>
              </w:rPr>
              <w:lastRenderedPageBreak/>
              <w:t>TT</w:t>
            </w:r>
          </w:p>
        </w:tc>
        <w:tc>
          <w:tcPr>
            <w:tcW w:w="5434"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60" w:after="60"/>
              <w:jc w:val="center"/>
              <w:rPr>
                <w:b/>
                <w:color w:val="000000"/>
              </w:rPr>
            </w:pPr>
            <w:r w:rsidRPr="00275BAF">
              <w:rPr>
                <w:b/>
                <w:color w:val="000000"/>
              </w:rPr>
              <w:t>Thông số ô nhiễm</w:t>
            </w:r>
          </w:p>
        </w:tc>
        <w:tc>
          <w:tcPr>
            <w:tcW w:w="1511"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60" w:after="60"/>
              <w:ind w:left="-57" w:right="-57"/>
              <w:jc w:val="center"/>
              <w:rPr>
                <w:b/>
                <w:color w:val="000000"/>
              </w:rPr>
            </w:pPr>
            <w:r w:rsidRPr="00275BAF">
              <w:rPr>
                <w:b/>
                <w:color w:val="000000"/>
              </w:rPr>
              <w:t>Đơn vị</w:t>
            </w:r>
          </w:p>
        </w:tc>
        <w:tc>
          <w:tcPr>
            <w:tcW w:w="1702" w:type="dxa"/>
            <w:tcBorders>
              <w:top w:val="single" w:sz="4" w:space="0" w:color="auto"/>
              <w:left w:val="single" w:sz="4" w:space="0" w:color="auto"/>
              <w:right w:val="single" w:sz="4" w:space="0" w:color="auto"/>
            </w:tcBorders>
            <w:shd w:val="clear" w:color="auto" w:fill="FFFFFF"/>
            <w:vAlign w:val="center"/>
          </w:tcPr>
          <w:p w:rsidR="00032B88" w:rsidRPr="00275BAF" w:rsidRDefault="00032B88" w:rsidP="0037280F">
            <w:pPr>
              <w:spacing w:before="60" w:after="60"/>
              <w:ind w:left="-113" w:right="-113"/>
              <w:jc w:val="center"/>
              <w:rPr>
                <w:b/>
                <w:color w:val="000000"/>
              </w:rPr>
            </w:pPr>
            <w:r w:rsidRPr="00275BAF">
              <w:rPr>
                <w:b/>
                <w:color w:val="000000"/>
              </w:rPr>
              <w:t>Nồng độ (C)</w:t>
            </w:r>
          </w:p>
        </w:tc>
      </w:tr>
      <w:tr w:rsidR="00032B88" w:rsidRPr="00275BAF" w:rsidTr="0037280F">
        <w:trPr>
          <w:trHeight w:val="20"/>
          <w:jc w:val="center"/>
        </w:trPr>
        <w:tc>
          <w:tcPr>
            <w:tcW w:w="615"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60" w:after="60"/>
              <w:jc w:val="center"/>
              <w:rPr>
                <w:color w:val="000000"/>
              </w:rPr>
            </w:pPr>
            <w:r w:rsidRPr="00275BAF">
              <w:rPr>
                <w:color w:val="000000"/>
              </w:rPr>
              <w:t>1</w:t>
            </w:r>
          </w:p>
        </w:tc>
        <w:tc>
          <w:tcPr>
            <w:tcW w:w="5434" w:type="dxa"/>
            <w:tcBorders>
              <w:top w:val="single" w:sz="4" w:space="0" w:color="auto"/>
              <w:left w:val="single" w:sz="4" w:space="0" w:color="auto"/>
              <w:bottom w:val="nil"/>
              <w:right w:val="nil"/>
            </w:tcBorders>
            <w:shd w:val="clear" w:color="auto" w:fill="FFFFFF"/>
          </w:tcPr>
          <w:p w:rsidR="00032B88" w:rsidRPr="00275BAF" w:rsidRDefault="00032B88" w:rsidP="0037280F">
            <w:pPr>
              <w:spacing w:before="60" w:after="60"/>
              <w:rPr>
                <w:color w:val="000000"/>
              </w:rPr>
            </w:pPr>
            <w:r w:rsidRPr="00275BAF">
              <w:rPr>
                <w:color w:val="000000"/>
              </w:rPr>
              <w:t>Bụi tổng</w:t>
            </w:r>
          </w:p>
        </w:tc>
        <w:tc>
          <w:tcPr>
            <w:tcW w:w="1511"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60" w:after="60"/>
              <w:ind w:left="-57" w:right="-57"/>
              <w:jc w:val="center"/>
              <w:rPr>
                <w:color w:val="000000"/>
              </w:rPr>
            </w:pPr>
            <w:r w:rsidRPr="00275BAF">
              <w:rPr>
                <w:color w:val="000000"/>
              </w:rPr>
              <w:t>mg/Nm</w:t>
            </w:r>
            <w:r w:rsidRPr="00275BAF">
              <w:rPr>
                <w:color w:val="000000"/>
                <w:vertAlign w:val="superscript"/>
              </w:rPr>
              <w:t>3</w:t>
            </w:r>
          </w:p>
        </w:tc>
        <w:tc>
          <w:tcPr>
            <w:tcW w:w="1702" w:type="dxa"/>
            <w:tcBorders>
              <w:top w:val="single" w:sz="4" w:space="0" w:color="auto"/>
              <w:left w:val="single" w:sz="4" w:space="0" w:color="auto"/>
              <w:bottom w:val="nil"/>
              <w:right w:val="single" w:sz="4" w:space="0" w:color="auto"/>
            </w:tcBorders>
            <w:shd w:val="clear" w:color="auto" w:fill="FFFFFF"/>
            <w:vAlign w:val="center"/>
          </w:tcPr>
          <w:p w:rsidR="00032B88" w:rsidRPr="00275BAF" w:rsidRDefault="00032B88" w:rsidP="0037280F">
            <w:pPr>
              <w:spacing w:before="60" w:after="60"/>
              <w:jc w:val="center"/>
              <w:rPr>
                <w:color w:val="000000"/>
              </w:rPr>
            </w:pPr>
            <w:r w:rsidRPr="00275BAF">
              <w:rPr>
                <w:color w:val="000000"/>
              </w:rPr>
              <w:t>100</w:t>
            </w:r>
          </w:p>
        </w:tc>
      </w:tr>
      <w:tr w:rsidR="00032B88" w:rsidRPr="00275BAF" w:rsidTr="0037280F">
        <w:trPr>
          <w:trHeight w:val="20"/>
          <w:jc w:val="center"/>
        </w:trPr>
        <w:tc>
          <w:tcPr>
            <w:tcW w:w="615"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60" w:after="60"/>
              <w:jc w:val="center"/>
              <w:rPr>
                <w:color w:val="000000"/>
              </w:rPr>
            </w:pPr>
            <w:r w:rsidRPr="00275BAF">
              <w:rPr>
                <w:color w:val="000000"/>
              </w:rPr>
              <w:t>2</w:t>
            </w:r>
          </w:p>
        </w:tc>
        <w:tc>
          <w:tcPr>
            <w:tcW w:w="5434" w:type="dxa"/>
            <w:tcBorders>
              <w:top w:val="single" w:sz="4" w:space="0" w:color="auto"/>
              <w:left w:val="single" w:sz="4" w:space="0" w:color="auto"/>
              <w:bottom w:val="nil"/>
              <w:right w:val="nil"/>
            </w:tcBorders>
            <w:shd w:val="clear" w:color="auto" w:fill="FFFFFF"/>
          </w:tcPr>
          <w:p w:rsidR="00032B88" w:rsidRPr="00275BAF" w:rsidRDefault="00032B88" w:rsidP="0037280F">
            <w:pPr>
              <w:spacing w:before="60" w:after="60"/>
              <w:rPr>
                <w:color w:val="000000"/>
              </w:rPr>
            </w:pPr>
            <w:r w:rsidRPr="00275BAF">
              <w:rPr>
                <w:color w:val="000000"/>
              </w:rPr>
              <w:t>Axit Clohydric, HCl</w:t>
            </w:r>
          </w:p>
        </w:tc>
        <w:tc>
          <w:tcPr>
            <w:tcW w:w="1511"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60" w:after="60"/>
              <w:ind w:left="-57" w:right="-57"/>
              <w:jc w:val="center"/>
              <w:rPr>
                <w:color w:val="000000"/>
              </w:rPr>
            </w:pPr>
            <w:r w:rsidRPr="00275BAF">
              <w:rPr>
                <w:color w:val="000000"/>
              </w:rPr>
              <w:t>mg/Nm</w:t>
            </w:r>
            <w:r w:rsidRPr="00275BAF">
              <w:rPr>
                <w:color w:val="000000"/>
                <w:vertAlign w:val="superscript"/>
              </w:rPr>
              <w:t>3</w:t>
            </w:r>
          </w:p>
        </w:tc>
        <w:tc>
          <w:tcPr>
            <w:tcW w:w="1702" w:type="dxa"/>
            <w:tcBorders>
              <w:top w:val="single" w:sz="4" w:space="0" w:color="auto"/>
              <w:left w:val="single" w:sz="4" w:space="0" w:color="auto"/>
              <w:bottom w:val="nil"/>
              <w:right w:val="single" w:sz="4" w:space="0" w:color="auto"/>
            </w:tcBorders>
            <w:shd w:val="clear" w:color="auto" w:fill="FFFFFF"/>
            <w:vAlign w:val="center"/>
          </w:tcPr>
          <w:p w:rsidR="00032B88" w:rsidRPr="00275BAF" w:rsidRDefault="00032B88" w:rsidP="0037280F">
            <w:pPr>
              <w:spacing w:before="60" w:after="60"/>
              <w:jc w:val="center"/>
              <w:rPr>
                <w:color w:val="000000"/>
              </w:rPr>
            </w:pPr>
            <w:r w:rsidRPr="00275BAF">
              <w:rPr>
                <w:color w:val="000000"/>
              </w:rPr>
              <w:t>50</w:t>
            </w:r>
          </w:p>
        </w:tc>
      </w:tr>
      <w:tr w:rsidR="00032B88" w:rsidRPr="00275BAF" w:rsidTr="0037280F">
        <w:trPr>
          <w:trHeight w:val="20"/>
          <w:jc w:val="center"/>
        </w:trPr>
        <w:tc>
          <w:tcPr>
            <w:tcW w:w="615"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60" w:after="60"/>
              <w:jc w:val="center"/>
              <w:rPr>
                <w:color w:val="000000"/>
              </w:rPr>
            </w:pPr>
            <w:r w:rsidRPr="00275BAF">
              <w:rPr>
                <w:color w:val="000000"/>
              </w:rPr>
              <w:t>3</w:t>
            </w:r>
          </w:p>
        </w:tc>
        <w:tc>
          <w:tcPr>
            <w:tcW w:w="5434" w:type="dxa"/>
            <w:tcBorders>
              <w:top w:val="single" w:sz="4" w:space="0" w:color="auto"/>
              <w:left w:val="single" w:sz="4" w:space="0" w:color="auto"/>
              <w:bottom w:val="nil"/>
              <w:right w:val="nil"/>
            </w:tcBorders>
            <w:shd w:val="clear" w:color="auto" w:fill="FFFFFF"/>
          </w:tcPr>
          <w:p w:rsidR="00032B88" w:rsidRPr="00275BAF" w:rsidRDefault="00032B88" w:rsidP="0037280F">
            <w:pPr>
              <w:spacing w:before="60" w:after="60"/>
              <w:rPr>
                <w:color w:val="000000"/>
              </w:rPr>
            </w:pPr>
            <w:r w:rsidRPr="00275BAF">
              <w:rPr>
                <w:color w:val="000000"/>
              </w:rPr>
              <w:t>Cacbon monoxyt, CO</w:t>
            </w:r>
          </w:p>
        </w:tc>
        <w:tc>
          <w:tcPr>
            <w:tcW w:w="1511"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60" w:after="60"/>
              <w:ind w:left="-57" w:right="-57"/>
              <w:jc w:val="center"/>
              <w:rPr>
                <w:color w:val="000000"/>
              </w:rPr>
            </w:pPr>
            <w:r w:rsidRPr="00275BAF">
              <w:rPr>
                <w:color w:val="000000"/>
              </w:rPr>
              <w:t>mg/Nm</w:t>
            </w:r>
            <w:r w:rsidRPr="00275BAF">
              <w:rPr>
                <w:color w:val="000000"/>
                <w:vertAlign w:val="superscript"/>
              </w:rPr>
              <w:t>3</w:t>
            </w:r>
          </w:p>
        </w:tc>
        <w:tc>
          <w:tcPr>
            <w:tcW w:w="1702" w:type="dxa"/>
            <w:tcBorders>
              <w:top w:val="single" w:sz="4" w:space="0" w:color="auto"/>
              <w:left w:val="single" w:sz="4" w:space="0" w:color="auto"/>
              <w:bottom w:val="nil"/>
              <w:right w:val="single" w:sz="4" w:space="0" w:color="auto"/>
            </w:tcBorders>
            <w:shd w:val="clear" w:color="auto" w:fill="FFFFFF"/>
            <w:vAlign w:val="center"/>
          </w:tcPr>
          <w:p w:rsidR="00032B88" w:rsidRPr="00275BAF" w:rsidRDefault="00032B88" w:rsidP="0037280F">
            <w:pPr>
              <w:spacing w:before="60" w:after="60"/>
              <w:jc w:val="center"/>
              <w:rPr>
                <w:color w:val="000000"/>
              </w:rPr>
            </w:pPr>
            <w:r w:rsidRPr="00275BAF">
              <w:rPr>
                <w:color w:val="000000"/>
              </w:rPr>
              <w:t>250</w:t>
            </w:r>
          </w:p>
        </w:tc>
      </w:tr>
      <w:tr w:rsidR="00032B88" w:rsidRPr="00275BAF" w:rsidTr="0037280F">
        <w:trPr>
          <w:trHeight w:val="20"/>
          <w:jc w:val="center"/>
        </w:trPr>
        <w:tc>
          <w:tcPr>
            <w:tcW w:w="615" w:type="dxa"/>
            <w:tcBorders>
              <w:top w:val="single" w:sz="4" w:space="0" w:color="auto"/>
              <w:left w:val="single" w:sz="4" w:space="0" w:color="auto"/>
              <w:bottom w:val="single" w:sz="4" w:space="0" w:color="auto"/>
              <w:right w:val="nil"/>
            </w:tcBorders>
            <w:shd w:val="clear" w:color="auto" w:fill="FFFFFF"/>
            <w:vAlign w:val="center"/>
          </w:tcPr>
          <w:p w:rsidR="00032B88" w:rsidRPr="00275BAF" w:rsidRDefault="00032B88" w:rsidP="0037280F">
            <w:pPr>
              <w:spacing w:before="60" w:after="60"/>
              <w:jc w:val="center"/>
              <w:rPr>
                <w:color w:val="000000"/>
              </w:rPr>
            </w:pPr>
            <w:r w:rsidRPr="00275BAF">
              <w:rPr>
                <w:color w:val="000000"/>
              </w:rPr>
              <w:t>4</w:t>
            </w:r>
          </w:p>
        </w:tc>
        <w:tc>
          <w:tcPr>
            <w:tcW w:w="5434" w:type="dxa"/>
            <w:tcBorders>
              <w:top w:val="single" w:sz="4" w:space="0" w:color="auto"/>
              <w:left w:val="single" w:sz="4" w:space="0" w:color="auto"/>
              <w:bottom w:val="single" w:sz="4" w:space="0" w:color="auto"/>
              <w:right w:val="nil"/>
            </w:tcBorders>
            <w:shd w:val="clear" w:color="auto" w:fill="FFFFFF"/>
          </w:tcPr>
          <w:p w:rsidR="00032B88" w:rsidRPr="00275BAF" w:rsidRDefault="00032B88" w:rsidP="0037280F">
            <w:pPr>
              <w:spacing w:before="60" w:after="60"/>
              <w:rPr>
                <w:color w:val="000000"/>
              </w:rPr>
            </w:pPr>
            <w:r w:rsidRPr="00275BAF">
              <w:rPr>
                <w:color w:val="000000"/>
              </w:rPr>
              <w:t>Lưu huỳnh dioxyt, SO</w:t>
            </w:r>
            <w:r w:rsidRPr="00275BAF">
              <w:rPr>
                <w:color w:val="000000"/>
                <w:vertAlign w:val="subscript"/>
              </w:rPr>
              <w:t>2</w:t>
            </w:r>
          </w:p>
        </w:tc>
        <w:tc>
          <w:tcPr>
            <w:tcW w:w="1511" w:type="dxa"/>
            <w:tcBorders>
              <w:top w:val="single" w:sz="4" w:space="0" w:color="auto"/>
              <w:left w:val="single" w:sz="4" w:space="0" w:color="auto"/>
              <w:bottom w:val="single" w:sz="4" w:space="0" w:color="auto"/>
              <w:right w:val="nil"/>
            </w:tcBorders>
            <w:shd w:val="clear" w:color="auto" w:fill="FFFFFF"/>
            <w:vAlign w:val="center"/>
          </w:tcPr>
          <w:p w:rsidR="00032B88" w:rsidRPr="00275BAF" w:rsidRDefault="00032B88" w:rsidP="0037280F">
            <w:pPr>
              <w:spacing w:before="60" w:after="60"/>
              <w:ind w:left="-57" w:right="-57"/>
              <w:jc w:val="center"/>
              <w:rPr>
                <w:color w:val="000000"/>
              </w:rPr>
            </w:pPr>
            <w:r w:rsidRPr="00275BAF">
              <w:rPr>
                <w:color w:val="000000"/>
              </w:rPr>
              <w:t>mg/Nm</w:t>
            </w:r>
            <w:r w:rsidRPr="00275BAF">
              <w:rPr>
                <w:color w:val="000000"/>
                <w:vertAlign w:val="superscript"/>
              </w:rPr>
              <w:t>3</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032B88" w:rsidRPr="00275BAF" w:rsidRDefault="00032B88" w:rsidP="0037280F">
            <w:pPr>
              <w:spacing w:before="60" w:after="60"/>
              <w:jc w:val="center"/>
              <w:rPr>
                <w:color w:val="000000"/>
              </w:rPr>
            </w:pPr>
            <w:r w:rsidRPr="00275BAF">
              <w:rPr>
                <w:color w:val="000000"/>
              </w:rPr>
              <w:t>250</w:t>
            </w:r>
          </w:p>
        </w:tc>
      </w:tr>
      <w:tr w:rsidR="00032B88" w:rsidRPr="00275BAF" w:rsidTr="0037280F">
        <w:trPr>
          <w:trHeight w:val="20"/>
          <w:jc w:val="center"/>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032B88" w:rsidRPr="00275BAF" w:rsidRDefault="00032B88" w:rsidP="0037280F">
            <w:pPr>
              <w:spacing w:before="60" w:after="60"/>
              <w:jc w:val="center"/>
              <w:rPr>
                <w:color w:val="000000"/>
              </w:rPr>
            </w:pPr>
            <w:r w:rsidRPr="00275BAF">
              <w:rPr>
                <w:color w:val="000000"/>
              </w:rPr>
              <w:t>5</w:t>
            </w:r>
          </w:p>
        </w:tc>
        <w:tc>
          <w:tcPr>
            <w:tcW w:w="5434" w:type="dxa"/>
            <w:tcBorders>
              <w:top w:val="single" w:sz="4" w:space="0" w:color="auto"/>
              <w:left w:val="single" w:sz="4" w:space="0" w:color="auto"/>
              <w:bottom w:val="single" w:sz="4" w:space="0" w:color="auto"/>
              <w:right w:val="single" w:sz="4" w:space="0" w:color="auto"/>
            </w:tcBorders>
            <w:shd w:val="clear" w:color="auto" w:fill="FFFFFF"/>
          </w:tcPr>
          <w:p w:rsidR="00032B88" w:rsidRPr="00275BAF" w:rsidRDefault="00032B88" w:rsidP="0037280F">
            <w:pPr>
              <w:spacing w:before="60" w:after="60"/>
              <w:rPr>
                <w:color w:val="000000"/>
              </w:rPr>
            </w:pPr>
            <w:r w:rsidRPr="00275BAF">
              <w:rPr>
                <w:color w:val="000000"/>
              </w:rPr>
              <w:t>Nitơ oxyt, NO</w:t>
            </w:r>
            <w:r w:rsidRPr="00275BAF">
              <w:rPr>
                <w:color w:val="000000"/>
                <w:vertAlign w:val="subscript"/>
              </w:rPr>
              <w:t>x</w:t>
            </w:r>
            <w:r w:rsidRPr="00275BAF">
              <w:rPr>
                <w:color w:val="000000"/>
              </w:rPr>
              <w:t xml:space="preserve"> (tính theo NO</w:t>
            </w:r>
            <w:r w:rsidRPr="00275BAF">
              <w:rPr>
                <w:color w:val="000000"/>
                <w:vertAlign w:val="subscript"/>
              </w:rPr>
              <w:t>2</w:t>
            </w:r>
            <w:r w:rsidRPr="00275BAF">
              <w:rPr>
                <w:color w:val="000000"/>
              </w:rPr>
              <w:t>)</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rsidR="00032B88" w:rsidRPr="00275BAF" w:rsidRDefault="00032B88" w:rsidP="0037280F">
            <w:pPr>
              <w:spacing w:before="60" w:after="60"/>
              <w:ind w:left="-57" w:right="-57"/>
              <w:jc w:val="center"/>
              <w:rPr>
                <w:color w:val="000000"/>
              </w:rPr>
            </w:pPr>
            <w:r w:rsidRPr="00275BAF">
              <w:rPr>
                <w:color w:val="000000"/>
              </w:rPr>
              <w:t>mg/Nm</w:t>
            </w:r>
            <w:r w:rsidRPr="00275BAF">
              <w:rPr>
                <w:color w:val="000000"/>
                <w:vertAlign w:val="superscript"/>
              </w:rPr>
              <w:t>3</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032B88" w:rsidRPr="00275BAF" w:rsidRDefault="00032B88" w:rsidP="0037280F">
            <w:pPr>
              <w:spacing w:before="60" w:after="60"/>
              <w:jc w:val="center"/>
              <w:rPr>
                <w:color w:val="000000"/>
              </w:rPr>
            </w:pPr>
            <w:r w:rsidRPr="00275BAF">
              <w:rPr>
                <w:color w:val="000000"/>
              </w:rPr>
              <w:t>500</w:t>
            </w:r>
          </w:p>
        </w:tc>
      </w:tr>
      <w:tr w:rsidR="00032B88" w:rsidRPr="00275BAF" w:rsidTr="0037280F">
        <w:trPr>
          <w:trHeight w:val="20"/>
          <w:jc w:val="center"/>
        </w:trPr>
        <w:tc>
          <w:tcPr>
            <w:tcW w:w="615"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60" w:after="60"/>
              <w:jc w:val="center"/>
              <w:rPr>
                <w:color w:val="000000"/>
              </w:rPr>
            </w:pPr>
            <w:r w:rsidRPr="00275BAF">
              <w:rPr>
                <w:color w:val="000000"/>
              </w:rPr>
              <w:t>6</w:t>
            </w:r>
          </w:p>
        </w:tc>
        <w:tc>
          <w:tcPr>
            <w:tcW w:w="5434" w:type="dxa"/>
            <w:tcBorders>
              <w:top w:val="single" w:sz="4" w:space="0" w:color="auto"/>
              <w:left w:val="single" w:sz="4" w:space="0" w:color="auto"/>
              <w:bottom w:val="nil"/>
              <w:right w:val="nil"/>
            </w:tcBorders>
            <w:shd w:val="clear" w:color="auto" w:fill="FFFFFF"/>
          </w:tcPr>
          <w:p w:rsidR="00032B88" w:rsidRPr="00275BAF" w:rsidRDefault="00032B88" w:rsidP="0037280F">
            <w:pPr>
              <w:spacing w:before="60" w:after="60"/>
              <w:rPr>
                <w:color w:val="000000"/>
              </w:rPr>
            </w:pPr>
            <w:r w:rsidRPr="00275BAF">
              <w:rPr>
                <w:color w:val="000000"/>
              </w:rPr>
              <w:t>Thủy ngân và hợp chất tính theo thủy ngân, Hg</w:t>
            </w:r>
          </w:p>
        </w:tc>
        <w:tc>
          <w:tcPr>
            <w:tcW w:w="1511"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60" w:after="60"/>
              <w:ind w:left="-57" w:right="-57"/>
              <w:jc w:val="center"/>
              <w:rPr>
                <w:color w:val="000000"/>
              </w:rPr>
            </w:pPr>
            <w:r w:rsidRPr="00275BAF">
              <w:rPr>
                <w:color w:val="000000"/>
              </w:rPr>
              <w:t>mg/Nm</w:t>
            </w:r>
            <w:r w:rsidRPr="00275BAF">
              <w:rPr>
                <w:color w:val="000000"/>
                <w:vertAlign w:val="superscript"/>
              </w:rPr>
              <w:t>3</w:t>
            </w:r>
          </w:p>
        </w:tc>
        <w:tc>
          <w:tcPr>
            <w:tcW w:w="1702" w:type="dxa"/>
            <w:tcBorders>
              <w:top w:val="single" w:sz="4" w:space="0" w:color="auto"/>
              <w:left w:val="single" w:sz="4" w:space="0" w:color="auto"/>
              <w:bottom w:val="nil"/>
              <w:right w:val="single" w:sz="4" w:space="0" w:color="auto"/>
            </w:tcBorders>
            <w:shd w:val="clear" w:color="auto" w:fill="FFFFFF"/>
            <w:vAlign w:val="center"/>
          </w:tcPr>
          <w:p w:rsidR="00032B88" w:rsidRPr="00275BAF" w:rsidRDefault="00032B88" w:rsidP="0037280F">
            <w:pPr>
              <w:spacing w:before="60" w:after="60"/>
              <w:jc w:val="center"/>
              <w:rPr>
                <w:color w:val="000000"/>
              </w:rPr>
            </w:pPr>
            <w:r w:rsidRPr="00275BAF">
              <w:rPr>
                <w:color w:val="000000"/>
              </w:rPr>
              <w:t>0,2</w:t>
            </w:r>
          </w:p>
        </w:tc>
      </w:tr>
      <w:tr w:rsidR="00032B88" w:rsidRPr="00275BAF" w:rsidTr="0037280F">
        <w:trPr>
          <w:cantSplit/>
          <w:trHeight w:val="20"/>
          <w:jc w:val="center"/>
        </w:trPr>
        <w:tc>
          <w:tcPr>
            <w:tcW w:w="615"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60" w:after="60"/>
              <w:jc w:val="center"/>
              <w:rPr>
                <w:color w:val="000000"/>
              </w:rPr>
            </w:pPr>
            <w:r w:rsidRPr="00275BAF">
              <w:rPr>
                <w:color w:val="000000"/>
              </w:rPr>
              <w:t>7</w:t>
            </w:r>
          </w:p>
        </w:tc>
        <w:tc>
          <w:tcPr>
            <w:tcW w:w="5434" w:type="dxa"/>
            <w:tcBorders>
              <w:top w:val="single" w:sz="4" w:space="0" w:color="auto"/>
              <w:left w:val="single" w:sz="4" w:space="0" w:color="auto"/>
              <w:bottom w:val="nil"/>
              <w:right w:val="nil"/>
            </w:tcBorders>
            <w:shd w:val="clear" w:color="auto" w:fill="FFFFFF"/>
          </w:tcPr>
          <w:p w:rsidR="00032B88" w:rsidRPr="00275BAF" w:rsidRDefault="00032B88" w:rsidP="0037280F">
            <w:pPr>
              <w:spacing w:before="60" w:after="60"/>
              <w:rPr>
                <w:color w:val="000000"/>
              </w:rPr>
            </w:pPr>
            <w:r w:rsidRPr="00275BAF">
              <w:rPr>
                <w:color w:val="000000"/>
              </w:rPr>
              <w:t>Cadimi và hợp chất tính theo Cadimi, Cd</w:t>
            </w:r>
          </w:p>
        </w:tc>
        <w:tc>
          <w:tcPr>
            <w:tcW w:w="1511"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60" w:after="60"/>
              <w:ind w:left="-57" w:right="-57"/>
              <w:jc w:val="center"/>
              <w:rPr>
                <w:color w:val="000000"/>
              </w:rPr>
            </w:pPr>
            <w:r w:rsidRPr="00275BAF">
              <w:rPr>
                <w:color w:val="000000"/>
              </w:rPr>
              <w:t>mg/Nm</w:t>
            </w:r>
            <w:r w:rsidRPr="00275BAF">
              <w:rPr>
                <w:color w:val="000000"/>
                <w:vertAlign w:val="superscript"/>
              </w:rPr>
              <w:t>3</w:t>
            </w:r>
          </w:p>
        </w:tc>
        <w:tc>
          <w:tcPr>
            <w:tcW w:w="1702" w:type="dxa"/>
            <w:tcBorders>
              <w:top w:val="single" w:sz="4" w:space="0" w:color="auto"/>
              <w:left w:val="single" w:sz="4" w:space="0" w:color="auto"/>
              <w:bottom w:val="nil"/>
              <w:right w:val="single" w:sz="4" w:space="0" w:color="auto"/>
            </w:tcBorders>
            <w:shd w:val="clear" w:color="auto" w:fill="FFFFFF"/>
            <w:vAlign w:val="center"/>
          </w:tcPr>
          <w:p w:rsidR="00032B88" w:rsidRPr="00275BAF" w:rsidRDefault="00032B88" w:rsidP="0037280F">
            <w:pPr>
              <w:spacing w:before="60" w:after="60"/>
              <w:jc w:val="center"/>
              <w:rPr>
                <w:color w:val="000000"/>
              </w:rPr>
            </w:pPr>
            <w:r w:rsidRPr="00275BAF">
              <w:rPr>
                <w:color w:val="000000"/>
              </w:rPr>
              <w:t>0,16</w:t>
            </w:r>
          </w:p>
        </w:tc>
      </w:tr>
      <w:tr w:rsidR="00032B88" w:rsidRPr="00275BAF" w:rsidTr="0037280F">
        <w:trPr>
          <w:trHeight w:val="20"/>
          <w:jc w:val="center"/>
        </w:trPr>
        <w:tc>
          <w:tcPr>
            <w:tcW w:w="615"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60" w:after="60"/>
              <w:jc w:val="center"/>
              <w:rPr>
                <w:color w:val="000000"/>
              </w:rPr>
            </w:pPr>
            <w:r w:rsidRPr="00275BAF">
              <w:rPr>
                <w:color w:val="000000"/>
              </w:rPr>
              <w:t>8</w:t>
            </w:r>
          </w:p>
        </w:tc>
        <w:tc>
          <w:tcPr>
            <w:tcW w:w="5434" w:type="dxa"/>
            <w:tcBorders>
              <w:top w:val="single" w:sz="4" w:space="0" w:color="auto"/>
              <w:left w:val="single" w:sz="4" w:space="0" w:color="auto"/>
              <w:bottom w:val="nil"/>
              <w:right w:val="nil"/>
            </w:tcBorders>
            <w:shd w:val="clear" w:color="auto" w:fill="FFFFFF"/>
          </w:tcPr>
          <w:p w:rsidR="00032B88" w:rsidRPr="00275BAF" w:rsidRDefault="00032B88" w:rsidP="0037280F">
            <w:pPr>
              <w:spacing w:before="60" w:after="60"/>
              <w:rPr>
                <w:color w:val="000000"/>
              </w:rPr>
            </w:pPr>
            <w:r w:rsidRPr="00275BAF">
              <w:rPr>
                <w:color w:val="000000"/>
              </w:rPr>
              <w:t>Chì và hợp chất tính theo chì, Pb</w:t>
            </w:r>
          </w:p>
        </w:tc>
        <w:tc>
          <w:tcPr>
            <w:tcW w:w="1511" w:type="dxa"/>
            <w:tcBorders>
              <w:top w:val="single" w:sz="4" w:space="0" w:color="auto"/>
              <w:left w:val="single" w:sz="4" w:space="0" w:color="auto"/>
              <w:bottom w:val="nil"/>
              <w:right w:val="nil"/>
            </w:tcBorders>
            <w:shd w:val="clear" w:color="auto" w:fill="FFFFFF"/>
            <w:vAlign w:val="center"/>
          </w:tcPr>
          <w:p w:rsidR="00032B88" w:rsidRPr="00275BAF" w:rsidRDefault="00032B88" w:rsidP="0037280F">
            <w:pPr>
              <w:spacing w:before="60" w:after="60"/>
              <w:ind w:left="-57" w:right="-57"/>
              <w:jc w:val="center"/>
              <w:rPr>
                <w:color w:val="000000"/>
              </w:rPr>
            </w:pPr>
            <w:r w:rsidRPr="00275BAF">
              <w:rPr>
                <w:color w:val="000000"/>
              </w:rPr>
              <w:t>mg/Nm</w:t>
            </w:r>
            <w:r w:rsidRPr="00275BAF">
              <w:rPr>
                <w:color w:val="000000"/>
                <w:vertAlign w:val="superscript"/>
              </w:rPr>
              <w:t>3</w:t>
            </w:r>
          </w:p>
        </w:tc>
        <w:tc>
          <w:tcPr>
            <w:tcW w:w="1702" w:type="dxa"/>
            <w:tcBorders>
              <w:top w:val="single" w:sz="4" w:space="0" w:color="auto"/>
              <w:left w:val="single" w:sz="4" w:space="0" w:color="auto"/>
              <w:bottom w:val="nil"/>
              <w:right w:val="single" w:sz="4" w:space="0" w:color="auto"/>
            </w:tcBorders>
            <w:shd w:val="clear" w:color="auto" w:fill="FFFFFF"/>
            <w:vAlign w:val="center"/>
          </w:tcPr>
          <w:p w:rsidR="00032B88" w:rsidRPr="00275BAF" w:rsidRDefault="00032B88" w:rsidP="0037280F">
            <w:pPr>
              <w:spacing w:before="60" w:after="60"/>
              <w:jc w:val="center"/>
              <w:rPr>
                <w:color w:val="000000"/>
              </w:rPr>
            </w:pPr>
            <w:r w:rsidRPr="00275BAF">
              <w:rPr>
                <w:color w:val="000000"/>
              </w:rPr>
              <w:t>1,2</w:t>
            </w:r>
          </w:p>
        </w:tc>
      </w:tr>
      <w:tr w:rsidR="00032B88" w:rsidRPr="00275BAF" w:rsidTr="0037280F">
        <w:trPr>
          <w:trHeight w:val="20"/>
          <w:jc w:val="center"/>
        </w:trPr>
        <w:tc>
          <w:tcPr>
            <w:tcW w:w="615" w:type="dxa"/>
            <w:tcBorders>
              <w:top w:val="single" w:sz="4" w:space="0" w:color="auto"/>
              <w:left w:val="single" w:sz="4" w:space="0" w:color="auto"/>
              <w:bottom w:val="single" w:sz="4" w:space="0" w:color="auto"/>
              <w:right w:val="nil"/>
            </w:tcBorders>
            <w:shd w:val="clear" w:color="auto" w:fill="FFFFFF"/>
            <w:vAlign w:val="center"/>
          </w:tcPr>
          <w:p w:rsidR="00032B88" w:rsidRPr="00275BAF" w:rsidRDefault="00032B88" w:rsidP="0037280F">
            <w:pPr>
              <w:spacing w:before="60" w:after="60"/>
              <w:jc w:val="center"/>
              <w:rPr>
                <w:color w:val="000000"/>
              </w:rPr>
            </w:pPr>
            <w:r w:rsidRPr="00275BAF">
              <w:rPr>
                <w:color w:val="000000"/>
              </w:rPr>
              <w:t>9</w:t>
            </w:r>
          </w:p>
        </w:tc>
        <w:tc>
          <w:tcPr>
            <w:tcW w:w="5434" w:type="dxa"/>
            <w:tcBorders>
              <w:top w:val="single" w:sz="4" w:space="0" w:color="auto"/>
              <w:left w:val="single" w:sz="4" w:space="0" w:color="auto"/>
              <w:bottom w:val="single" w:sz="4" w:space="0" w:color="auto"/>
              <w:right w:val="nil"/>
            </w:tcBorders>
            <w:shd w:val="clear" w:color="auto" w:fill="FFFFFF"/>
          </w:tcPr>
          <w:p w:rsidR="00032B88" w:rsidRPr="00275BAF" w:rsidRDefault="00032B88" w:rsidP="0037280F">
            <w:pPr>
              <w:spacing w:before="60" w:after="60"/>
              <w:rPr>
                <w:color w:val="000000"/>
              </w:rPr>
            </w:pPr>
            <w:r w:rsidRPr="00275BAF">
              <w:rPr>
                <w:color w:val="000000"/>
              </w:rPr>
              <w:t>Tổng đioxin/furan, PCDD/PCDF</w:t>
            </w:r>
          </w:p>
        </w:tc>
        <w:tc>
          <w:tcPr>
            <w:tcW w:w="1511" w:type="dxa"/>
            <w:tcBorders>
              <w:top w:val="single" w:sz="4" w:space="0" w:color="auto"/>
              <w:left w:val="single" w:sz="4" w:space="0" w:color="auto"/>
              <w:bottom w:val="single" w:sz="4" w:space="0" w:color="auto"/>
              <w:right w:val="nil"/>
            </w:tcBorders>
            <w:shd w:val="clear" w:color="auto" w:fill="FFFFFF"/>
            <w:vAlign w:val="center"/>
          </w:tcPr>
          <w:p w:rsidR="00032B88" w:rsidRPr="00275BAF" w:rsidRDefault="00032B88" w:rsidP="0037280F">
            <w:pPr>
              <w:spacing w:before="60" w:after="60"/>
              <w:ind w:left="-113" w:right="-113"/>
              <w:jc w:val="center"/>
              <w:rPr>
                <w:color w:val="000000"/>
              </w:rPr>
            </w:pPr>
            <w:r w:rsidRPr="00275BAF">
              <w:rPr>
                <w:i/>
                <w:color w:val="000000"/>
              </w:rPr>
              <w:t>ng</w:t>
            </w:r>
            <w:r w:rsidRPr="00275BAF">
              <w:rPr>
                <w:color w:val="000000"/>
              </w:rPr>
              <w:t>TEQ/Nm</w:t>
            </w:r>
            <w:r w:rsidRPr="00275BAF">
              <w:rPr>
                <w:color w:val="000000"/>
                <w:vertAlign w:val="superscript"/>
              </w:rPr>
              <w:t>3</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032B88" w:rsidRPr="00275BAF" w:rsidRDefault="00032B88" w:rsidP="0037280F">
            <w:pPr>
              <w:spacing w:before="60" w:after="60"/>
              <w:jc w:val="center"/>
              <w:rPr>
                <w:color w:val="000000"/>
              </w:rPr>
            </w:pPr>
            <w:r w:rsidRPr="00275BAF">
              <w:rPr>
                <w:color w:val="000000"/>
              </w:rPr>
              <w:t>0,6</w:t>
            </w:r>
          </w:p>
        </w:tc>
      </w:tr>
      <w:tr w:rsidR="00032B88" w:rsidRPr="00275BAF" w:rsidTr="0037280F">
        <w:trPr>
          <w:trHeight w:val="20"/>
          <w:jc w:val="center"/>
        </w:trPr>
        <w:tc>
          <w:tcPr>
            <w:tcW w:w="92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32B88" w:rsidRPr="00275BAF" w:rsidRDefault="00032B88" w:rsidP="0037280F">
            <w:pPr>
              <w:spacing w:before="60" w:after="60"/>
              <w:jc w:val="center"/>
              <w:rPr>
                <w:i/>
              </w:rPr>
            </w:pPr>
            <w:r w:rsidRPr="00275BAF">
              <w:rPr>
                <w:i/>
              </w:rPr>
              <w:t>Hàm lượng ôxy tham chiếu trong khí thải là 12%.</w:t>
            </w:r>
          </w:p>
        </w:tc>
      </w:tr>
    </w:tbl>
    <w:p w:rsidR="00032B88" w:rsidRPr="00275BAF" w:rsidRDefault="00032B88" w:rsidP="00032B88">
      <w:pPr>
        <w:pStyle w:val="BodyTextIndent3"/>
        <w:spacing w:before="360" w:after="120" w:line="320" w:lineRule="atLeast"/>
        <w:ind w:firstLine="0"/>
        <w:jc w:val="center"/>
        <w:rPr>
          <w:rFonts w:ascii="Times New Roman" w:hAnsi="Times New Roman"/>
          <w:b/>
          <w:bCs/>
          <w:color w:val="000000"/>
          <w:lang w:val="pt-BR"/>
        </w:rPr>
      </w:pPr>
      <w:r w:rsidRPr="00275BAF">
        <w:rPr>
          <w:rFonts w:ascii="Times New Roman" w:hAnsi="Times New Roman"/>
          <w:b/>
          <w:bCs/>
          <w:color w:val="000000"/>
          <w:lang w:val="pt-BR"/>
        </w:rPr>
        <w:t>Bảng 3. Hệ số vùng, khu vực</w:t>
      </w:r>
      <w:r w:rsidRPr="00275BAF">
        <w:rPr>
          <w:rFonts w:ascii="Times New Roman" w:hAnsi="Times New Roman"/>
          <w:bCs/>
          <w:color w:val="000000"/>
          <w:lang w:val="pt-BR"/>
        </w:rPr>
        <w:t xml:space="preserve"> </w:t>
      </w:r>
      <w:r w:rsidRPr="00275BAF">
        <w:rPr>
          <w:rFonts w:ascii="Times New Roman" w:hAnsi="Times New Roman"/>
          <w:b/>
          <w:bCs/>
          <w:color w:val="000000"/>
          <w:lang w:val="pt-BR"/>
        </w:rPr>
        <w:t>K</w:t>
      </w:r>
      <w:r w:rsidRPr="00275BAF">
        <w:rPr>
          <w:rFonts w:ascii="Times New Roman" w:hAnsi="Times New Roman"/>
          <w:b/>
          <w:bCs/>
          <w:color w:val="000000"/>
          <w:vertAlign w:val="subscript"/>
          <w:lang w:val="pt-BR"/>
        </w:rPr>
        <w:t>v</w:t>
      </w:r>
      <w:r w:rsidRPr="00275BAF">
        <w:rPr>
          <w:rFonts w:ascii="Times New Roman" w:hAnsi="Times New Roman"/>
          <w:b/>
          <w:bCs/>
          <w:color w:val="000000"/>
          <w:lang w:val="pt-BR"/>
        </w:rPr>
        <w:t xml:space="preserve"> </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6444"/>
        <w:gridCol w:w="1480"/>
      </w:tblGrid>
      <w:tr w:rsidR="00032B88" w:rsidRPr="00275BAF" w:rsidTr="0037280F">
        <w:trPr>
          <w:cantSplit/>
          <w:tblHeader/>
          <w:jc w:val="center"/>
        </w:trPr>
        <w:tc>
          <w:tcPr>
            <w:tcW w:w="7574" w:type="dxa"/>
            <w:gridSpan w:val="2"/>
          </w:tcPr>
          <w:p w:rsidR="00032B88" w:rsidRPr="00275BAF" w:rsidRDefault="00032B88" w:rsidP="0037280F">
            <w:pPr>
              <w:pStyle w:val="BodyTextIndent3"/>
              <w:spacing w:before="60"/>
              <w:ind w:firstLine="0"/>
              <w:jc w:val="center"/>
              <w:rPr>
                <w:rFonts w:ascii="Times New Roman" w:hAnsi="Times New Roman"/>
                <w:b/>
                <w:bCs/>
                <w:color w:val="000000"/>
                <w:lang w:val="pt-BR"/>
              </w:rPr>
            </w:pPr>
            <w:r w:rsidRPr="00275BAF">
              <w:rPr>
                <w:rFonts w:ascii="Times New Roman" w:hAnsi="Times New Roman"/>
                <w:b/>
                <w:bCs/>
                <w:color w:val="000000"/>
                <w:lang w:val="pt-BR"/>
              </w:rPr>
              <w:t>Phân vùng, khu vực</w:t>
            </w:r>
          </w:p>
        </w:tc>
        <w:tc>
          <w:tcPr>
            <w:tcW w:w="1480" w:type="dxa"/>
          </w:tcPr>
          <w:p w:rsidR="00032B88" w:rsidRPr="00275BAF" w:rsidRDefault="00032B88" w:rsidP="0037280F">
            <w:pPr>
              <w:pStyle w:val="BodyTextIndent3"/>
              <w:spacing w:before="60"/>
              <w:ind w:firstLine="0"/>
              <w:jc w:val="center"/>
              <w:rPr>
                <w:rFonts w:ascii="Times New Roman" w:hAnsi="Times New Roman"/>
                <w:b/>
                <w:bCs/>
                <w:color w:val="000000"/>
                <w:lang w:val="pt-BR"/>
              </w:rPr>
            </w:pPr>
            <w:r w:rsidRPr="00275BAF">
              <w:rPr>
                <w:rFonts w:ascii="Times New Roman" w:hAnsi="Times New Roman"/>
                <w:b/>
                <w:bCs/>
                <w:color w:val="000000"/>
                <w:lang w:val="pt-BR"/>
              </w:rPr>
              <w:t>Hệ số K</w:t>
            </w:r>
            <w:r w:rsidRPr="00275BAF">
              <w:rPr>
                <w:rFonts w:ascii="Times New Roman" w:hAnsi="Times New Roman"/>
                <w:b/>
                <w:bCs/>
                <w:color w:val="000000"/>
                <w:vertAlign w:val="subscript"/>
                <w:lang w:val="pt-BR"/>
              </w:rPr>
              <w:t>v</w:t>
            </w:r>
          </w:p>
        </w:tc>
      </w:tr>
      <w:tr w:rsidR="00032B88" w:rsidRPr="00275BAF" w:rsidTr="0037280F">
        <w:trPr>
          <w:jc w:val="center"/>
        </w:trPr>
        <w:tc>
          <w:tcPr>
            <w:tcW w:w="1130" w:type="dxa"/>
            <w:vAlign w:val="center"/>
          </w:tcPr>
          <w:p w:rsidR="00032B88" w:rsidRPr="00275BAF" w:rsidRDefault="00032B88" w:rsidP="0037280F">
            <w:pPr>
              <w:pStyle w:val="BodyTextIndent3"/>
              <w:spacing w:after="80"/>
              <w:ind w:firstLine="0"/>
              <w:jc w:val="center"/>
              <w:rPr>
                <w:rFonts w:ascii="Times New Roman" w:hAnsi="Times New Roman"/>
                <w:bCs/>
                <w:color w:val="000000"/>
                <w:lang w:val="pt-BR"/>
              </w:rPr>
            </w:pPr>
            <w:r w:rsidRPr="00275BAF">
              <w:rPr>
                <w:rFonts w:ascii="Times New Roman" w:hAnsi="Times New Roman"/>
                <w:bCs/>
                <w:color w:val="000000"/>
                <w:lang w:val="pt-BR"/>
              </w:rPr>
              <w:t>Vùng 1</w:t>
            </w:r>
          </w:p>
        </w:tc>
        <w:tc>
          <w:tcPr>
            <w:tcW w:w="6444" w:type="dxa"/>
          </w:tcPr>
          <w:p w:rsidR="00032B88" w:rsidRPr="00275BAF" w:rsidRDefault="00032B88" w:rsidP="0037280F">
            <w:pPr>
              <w:pStyle w:val="BodyTextIndent3"/>
              <w:spacing w:after="80"/>
              <w:ind w:firstLine="0"/>
              <w:rPr>
                <w:rFonts w:ascii="Times New Roman" w:hAnsi="Times New Roman"/>
                <w:color w:val="000000"/>
                <w:lang w:val="pt-BR"/>
              </w:rPr>
            </w:pPr>
            <w:r w:rsidRPr="00275BAF">
              <w:rPr>
                <w:rFonts w:ascii="Times New Roman" w:hAnsi="Times New Roman"/>
                <w:color w:val="000000"/>
                <w:lang w:val="pt-BR"/>
              </w:rPr>
              <w:t>Nội thành đô thị loại đặc biệt</w:t>
            </w:r>
            <w:r w:rsidRPr="00275BAF">
              <w:rPr>
                <w:rFonts w:ascii="Times New Roman" w:hAnsi="Times New Roman"/>
                <w:color w:val="000000"/>
                <w:vertAlign w:val="superscript"/>
                <w:lang w:val="pt-BR"/>
              </w:rPr>
              <w:t>(1)</w:t>
            </w:r>
            <w:r w:rsidRPr="00275BAF">
              <w:rPr>
                <w:rFonts w:ascii="Times New Roman" w:hAnsi="Times New Roman"/>
                <w:color w:val="000000"/>
                <w:lang w:val="pt-BR"/>
              </w:rPr>
              <w:t xml:space="preserve"> và đô thị loại I</w:t>
            </w:r>
            <w:r w:rsidRPr="00275BAF">
              <w:rPr>
                <w:rFonts w:ascii="Times New Roman" w:hAnsi="Times New Roman"/>
                <w:color w:val="000000"/>
                <w:vertAlign w:val="superscript"/>
                <w:lang w:val="pt-BR"/>
              </w:rPr>
              <w:t>(1)</w:t>
            </w:r>
            <w:r w:rsidRPr="00275BAF">
              <w:rPr>
                <w:rFonts w:ascii="Times New Roman" w:hAnsi="Times New Roman"/>
                <w:color w:val="000000"/>
                <w:lang w:val="pt-BR"/>
              </w:rPr>
              <w:t>; rừng đặc dụng</w:t>
            </w:r>
            <w:r w:rsidRPr="00275BAF">
              <w:rPr>
                <w:rFonts w:ascii="Times New Roman" w:hAnsi="Times New Roman"/>
                <w:color w:val="000000"/>
                <w:vertAlign w:val="superscript"/>
                <w:lang w:val="pt-BR"/>
              </w:rPr>
              <w:t>(2)</w:t>
            </w:r>
            <w:r w:rsidRPr="00275BAF">
              <w:rPr>
                <w:rFonts w:ascii="Times New Roman" w:hAnsi="Times New Roman"/>
                <w:color w:val="000000"/>
                <w:lang w:val="pt-BR"/>
              </w:rPr>
              <w:t>; Cơ sở đặt lò đốt CTRSH có khoảng cách đến ranh giới các khu vực này dưới 02 (hai) km.</w:t>
            </w:r>
          </w:p>
        </w:tc>
        <w:tc>
          <w:tcPr>
            <w:tcW w:w="1480" w:type="dxa"/>
            <w:vAlign w:val="center"/>
          </w:tcPr>
          <w:p w:rsidR="00032B88" w:rsidRPr="00275BAF" w:rsidRDefault="00032B88" w:rsidP="0037280F">
            <w:pPr>
              <w:pStyle w:val="BodyTextIndent3"/>
              <w:spacing w:after="80"/>
              <w:ind w:firstLine="0"/>
              <w:jc w:val="center"/>
              <w:rPr>
                <w:rFonts w:ascii="Times New Roman" w:hAnsi="Times New Roman"/>
                <w:color w:val="000000"/>
                <w:lang w:val="pt-BR"/>
              </w:rPr>
            </w:pPr>
            <w:r w:rsidRPr="00275BAF">
              <w:rPr>
                <w:rFonts w:ascii="Times New Roman" w:hAnsi="Times New Roman"/>
                <w:color w:val="000000"/>
                <w:lang w:val="pt-BR"/>
              </w:rPr>
              <w:t>0,6</w:t>
            </w:r>
          </w:p>
        </w:tc>
      </w:tr>
      <w:tr w:rsidR="00032B88" w:rsidRPr="00275BAF" w:rsidTr="0037280F">
        <w:trPr>
          <w:jc w:val="center"/>
        </w:trPr>
        <w:tc>
          <w:tcPr>
            <w:tcW w:w="1130" w:type="dxa"/>
            <w:vAlign w:val="center"/>
          </w:tcPr>
          <w:p w:rsidR="00032B88" w:rsidRPr="00275BAF" w:rsidRDefault="00032B88" w:rsidP="0037280F">
            <w:pPr>
              <w:pStyle w:val="BodyTextIndent3"/>
              <w:spacing w:after="80"/>
              <w:ind w:firstLine="0"/>
              <w:jc w:val="center"/>
              <w:rPr>
                <w:rFonts w:ascii="Times New Roman" w:hAnsi="Times New Roman"/>
                <w:bCs/>
                <w:color w:val="000000"/>
                <w:lang w:val="pt-BR"/>
              </w:rPr>
            </w:pPr>
            <w:r w:rsidRPr="00275BAF">
              <w:rPr>
                <w:rFonts w:ascii="Times New Roman" w:hAnsi="Times New Roman"/>
                <w:bCs/>
                <w:color w:val="000000"/>
                <w:lang w:val="pt-BR"/>
              </w:rPr>
              <w:t>Vùng 2</w:t>
            </w:r>
          </w:p>
        </w:tc>
        <w:tc>
          <w:tcPr>
            <w:tcW w:w="6444" w:type="dxa"/>
          </w:tcPr>
          <w:p w:rsidR="00032B88" w:rsidRPr="00275BAF" w:rsidRDefault="00032B88" w:rsidP="0037280F">
            <w:pPr>
              <w:pStyle w:val="BodyTextIndent3"/>
              <w:spacing w:after="80"/>
              <w:ind w:firstLine="0"/>
              <w:rPr>
                <w:rFonts w:ascii="Times New Roman" w:hAnsi="Times New Roman"/>
                <w:color w:val="000000"/>
                <w:lang w:val="pt-BR"/>
              </w:rPr>
            </w:pPr>
            <w:r w:rsidRPr="00275BAF">
              <w:rPr>
                <w:rFonts w:ascii="Times New Roman" w:hAnsi="Times New Roman"/>
                <w:color w:val="000000"/>
                <w:lang w:val="pt-BR"/>
              </w:rPr>
              <w:t>Nội thành, nội thị đô thị loại II, III, IV</w:t>
            </w:r>
            <w:r w:rsidRPr="00275BAF">
              <w:rPr>
                <w:rFonts w:ascii="Times New Roman" w:hAnsi="Times New Roman"/>
                <w:color w:val="000000"/>
                <w:vertAlign w:val="superscript"/>
                <w:lang w:val="pt-BR"/>
              </w:rPr>
              <w:t>(1)</w:t>
            </w:r>
            <w:r w:rsidRPr="00275BAF">
              <w:rPr>
                <w:rFonts w:ascii="Times New Roman" w:hAnsi="Times New Roman"/>
                <w:color w:val="000000"/>
                <w:lang w:val="pt-BR"/>
              </w:rPr>
              <w:t>; vùng ngoại thành đô thị loại đặc biệt, đô thị loại I có khoảng cách đến ranh giới nội thành lớn hơn hoặc bằng 02 (hai) km; Cơ sở đặt lò đốt CTRSH có khoảng cách đến ranh giới các khu vực này dưới 02 (hai) km.</w:t>
            </w:r>
          </w:p>
        </w:tc>
        <w:tc>
          <w:tcPr>
            <w:tcW w:w="1480" w:type="dxa"/>
            <w:vAlign w:val="center"/>
          </w:tcPr>
          <w:p w:rsidR="00032B88" w:rsidRPr="00275BAF" w:rsidRDefault="00032B88" w:rsidP="0037280F">
            <w:pPr>
              <w:pStyle w:val="BodyTextIndent3"/>
              <w:spacing w:after="80"/>
              <w:ind w:firstLine="0"/>
              <w:jc w:val="center"/>
              <w:rPr>
                <w:rFonts w:ascii="Times New Roman" w:hAnsi="Times New Roman"/>
                <w:color w:val="000000"/>
                <w:lang w:val="pt-BR"/>
              </w:rPr>
            </w:pPr>
            <w:r w:rsidRPr="00275BAF">
              <w:rPr>
                <w:rFonts w:ascii="Times New Roman" w:hAnsi="Times New Roman"/>
                <w:color w:val="000000"/>
                <w:lang w:val="pt-BR"/>
              </w:rPr>
              <w:t>0,8</w:t>
            </w:r>
          </w:p>
        </w:tc>
      </w:tr>
      <w:tr w:rsidR="00032B88" w:rsidRPr="00275BAF" w:rsidTr="0037280F">
        <w:trPr>
          <w:jc w:val="center"/>
        </w:trPr>
        <w:tc>
          <w:tcPr>
            <w:tcW w:w="1130" w:type="dxa"/>
            <w:vAlign w:val="center"/>
          </w:tcPr>
          <w:p w:rsidR="00032B88" w:rsidRPr="00275BAF" w:rsidRDefault="00032B88" w:rsidP="0037280F">
            <w:pPr>
              <w:pStyle w:val="BodyTextIndent3"/>
              <w:spacing w:after="80"/>
              <w:ind w:firstLine="0"/>
              <w:jc w:val="center"/>
              <w:rPr>
                <w:rFonts w:ascii="Times New Roman" w:hAnsi="Times New Roman"/>
                <w:bCs/>
                <w:color w:val="000000"/>
                <w:lang w:val="pt-BR"/>
              </w:rPr>
            </w:pPr>
            <w:r w:rsidRPr="00275BAF">
              <w:rPr>
                <w:rFonts w:ascii="Times New Roman" w:hAnsi="Times New Roman"/>
                <w:bCs/>
                <w:color w:val="000000"/>
                <w:lang w:val="pt-BR"/>
              </w:rPr>
              <w:lastRenderedPageBreak/>
              <w:t>Vùng 3</w:t>
            </w:r>
          </w:p>
        </w:tc>
        <w:tc>
          <w:tcPr>
            <w:tcW w:w="6444" w:type="dxa"/>
          </w:tcPr>
          <w:p w:rsidR="00032B88" w:rsidRPr="00275BAF" w:rsidRDefault="00032B88" w:rsidP="0037280F">
            <w:pPr>
              <w:pStyle w:val="BodyTextIndent3"/>
              <w:spacing w:after="80"/>
              <w:ind w:firstLine="0"/>
              <w:rPr>
                <w:rFonts w:ascii="Times New Roman" w:hAnsi="Times New Roman"/>
                <w:color w:val="000000"/>
                <w:lang w:val="pt-BR"/>
              </w:rPr>
            </w:pPr>
            <w:r w:rsidRPr="00275BAF">
              <w:rPr>
                <w:rFonts w:ascii="Times New Roman" w:hAnsi="Times New Roman"/>
                <w:color w:val="000000"/>
                <w:lang w:val="pt-BR"/>
              </w:rPr>
              <w:t>Khu công nghiệp; đô thị loại V</w:t>
            </w:r>
            <w:r w:rsidRPr="00275BAF">
              <w:rPr>
                <w:rFonts w:ascii="Times New Roman" w:hAnsi="Times New Roman"/>
                <w:color w:val="000000"/>
                <w:vertAlign w:val="superscript"/>
                <w:lang w:val="pt-BR"/>
              </w:rPr>
              <w:t>(1)</w:t>
            </w:r>
            <w:r w:rsidRPr="00275BAF">
              <w:rPr>
                <w:rFonts w:ascii="Times New Roman" w:hAnsi="Times New Roman"/>
                <w:color w:val="000000"/>
                <w:lang w:val="pt-BR"/>
              </w:rPr>
              <w:t xml:space="preserve">; vùng ngoại thành, ngoại thị đô thị loại II, III, IV có khoảng cách đến ranh giới nội thành, nội thị lớn hơn hoặc bằng 02 (hai) km; Cơ sở đặt lò đốt CTRSH có khoảng cách đến ranh giới các khu vực này dưới 02 (hai) km </w:t>
            </w:r>
            <w:r w:rsidRPr="00275BAF">
              <w:rPr>
                <w:rFonts w:ascii="Times New Roman" w:hAnsi="Times New Roman"/>
                <w:color w:val="000000"/>
                <w:vertAlign w:val="superscript"/>
                <w:lang w:val="pt-BR"/>
              </w:rPr>
              <w:t>(3)</w:t>
            </w:r>
            <w:r w:rsidRPr="00275BAF">
              <w:rPr>
                <w:rFonts w:ascii="Times New Roman" w:hAnsi="Times New Roman"/>
                <w:color w:val="000000"/>
                <w:lang w:val="pt-BR"/>
              </w:rPr>
              <w:t>.</w:t>
            </w:r>
          </w:p>
        </w:tc>
        <w:tc>
          <w:tcPr>
            <w:tcW w:w="1480" w:type="dxa"/>
            <w:vAlign w:val="center"/>
          </w:tcPr>
          <w:p w:rsidR="00032B88" w:rsidRPr="00275BAF" w:rsidRDefault="00032B88" w:rsidP="0037280F">
            <w:pPr>
              <w:pStyle w:val="BodyTextIndent3"/>
              <w:spacing w:after="80"/>
              <w:ind w:firstLine="0"/>
              <w:jc w:val="center"/>
              <w:rPr>
                <w:rFonts w:ascii="Times New Roman" w:hAnsi="Times New Roman"/>
                <w:color w:val="000000"/>
                <w:lang w:val="pt-BR"/>
              </w:rPr>
            </w:pPr>
            <w:r w:rsidRPr="00275BAF">
              <w:rPr>
                <w:rFonts w:ascii="Times New Roman" w:hAnsi="Times New Roman"/>
                <w:color w:val="000000"/>
                <w:lang w:val="pt-BR"/>
              </w:rPr>
              <w:t>1,0</w:t>
            </w:r>
          </w:p>
        </w:tc>
      </w:tr>
      <w:tr w:rsidR="00032B88" w:rsidRPr="00275BAF" w:rsidTr="0037280F">
        <w:trPr>
          <w:jc w:val="center"/>
        </w:trPr>
        <w:tc>
          <w:tcPr>
            <w:tcW w:w="1130" w:type="dxa"/>
            <w:vAlign w:val="center"/>
          </w:tcPr>
          <w:p w:rsidR="00032B88" w:rsidRPr="00275BAF" w:rsidRDefault="00032B88" w:rsidP="0037280F">
            <w:pPr>
              <w:pStyle w:val="BodyTextIndent3"/>
              <w:spacing w:after="80"/>
              <w:ind w:firstLine="0"/>
              <w:jc w:val="center"/>
              <w:rPr>
                <w:rFonts w:ascii="Times New Roman" w:hAnsi="Times New Roman"/>
                <w:bCs/>
                <w:color w:val="000000"/>
                <w:lang w:val="pt-BR"/>
              </w:rPr>
            </w:pPr>
            <w:r w:rsidRPr="00275BAF">
              <w:rPr>
                <w:rFonts w:ascii="Times New Roman" w:hAnsi="Times New Roman"/>
                <w:bCs/>
                <w:color w:val="000000"/>
                <w:lang w:val="pt-BR"/>
              </w:rPr>
              <w:t>Vùng 4</w:t>
            </w:r>
          </w:p>
        </w:tc>
        <w:tc>
          <w:tcPr>
            <w:tcW w:w="6444" w:type="dxa"/>
          </w:tcPr>
          <w:p w:rsidR="00032B88" w:rsidRPr="00275BAF" w:rsidRDefault="00032B88" w:rsidP="0037280F">
            <w:pPr>
              <w:pStyle w:val="BodyTextIndent3"/>
              <w:spacing w:after="80"/>
              <w:ind w:firstLine="0"/>
              <w:rPr>
                <w:rFonts w:ascii="Times New Roman" w:hAnsi="Times New Roman"/>
                <w:color w:val="000000"/>
                <w:lang w:val="pt-BR"/>
              </w:rPr>
            </w:pPr>
            <w:r w:rsidRPr="00275BAF">
              <w:rPr>
                <w:rFonts w:ascii="Times New Roman" w:hAnsi="Times New Roman"/>
                <w:color w:val="000000"/>
                <w:lang w:val="pt-BR"/>
              </w:rPr>
              <w:t>Nông thôn</w:t>
            </w:r>
          </w:p>
        </w:tc>
        <w:tc>
          <w:tcPr>
            <w:tcW w:w="1480" w:type="dxa"/>
            <w:vAlign w:val="center"/>
          </w:tcPr>
          <w:p w:rsidR="00032B88" w:rsidRPr="00275BAF" w:rsidRDefault="00032B88" w:rsidP="0037280F">
            <w:pPr>
              <w:pStyle w:val="BodyTextIndent3"/>
              <w:spacing w:after="80"/>
              <w:ind w:firstLine="0"/>
              <w:jc w:val="center"/>
              <w:rPr>
                <w:rFonts w:ascii="Times New Roman" w:hAnsi="Times New Roman"/>
                <w:color w:val="000000"/>
                <w:lang w:val="pt-BR"/>
              </w:rPr>
            </w:pPr>
            <w:r w:rsidRPr="00275BAF">
              <w:rPr>
                <w:rFonts w:ascii="Times New Roman" w:hAnsi="Times New Roman"/>
                <w:color w:val="000000"/>
                <w:lang w:val="pt-BR"/>
              </w:rPr>
              <w:t>1,2</w:t>
            </w:r>
          </w:p>
        </w:tc>
      </w:tr>
      <w:tr w:rsidR="00032B88" w:rsidRPr="00275BAF" w:rsidTr="0037280F">
        <w:trPr>
          <w:jc w:val="center"/>
        </w:trPr>
        <w:tc>
          <w:tcPr>
            <w:tcW w:w="1130" w:type="dxa"/>
            <w:vAlign w:val="center"/>
          </w:tcPr>
          <w:p w:rsidR="00032B88" w:rsidRPr="00275BAF" w:rsidRDefault="00032B88" w:rsidP="0037280F">
            <w:pPr>
              <w:pStyle w:val="BodyTextIndent3"/>
              <w:spacing w:after="80"/>
              <w:ind w:firstLine="0"/>
              <w:jc w:val="center"/>
              <w:rPr>
                <w:rFonts w:ascii="Times New Roman" w:hAnsi="Times New Roman"/>
                <w:bCs/>
                <w:color w:val="000000"/>
                <w:lang w:val="pt-BR"/>
              </w:rPr>
            </w:pPr>
            <w:r w:rsidRPr="00275BAF">
              <w:rPr>
                <w:rFonts w:ascii="Times New Roman" w:hAnsi="Times New Roman"/>
                <w:bCs/>
                <w:color w:val="000000"/>
                <w:lang w:val="pt-BR"/>
              </w:rPr>
              <w:t>Vùng 5</w:t>
            </w:r>
          </w:p>
        </w:tc>
        <w:tc>
          <w:tcPr>
            <w:tcW w:w="6444" w:type="dxa"/>
          </w:tcPr>
          <w:p w:rsidR="00032B88" w:rsidRPr="00275BAF" w:rsidRDefault="00032B88" w:rsidP="0037280F">
            <w:pPr>
              <w:pStyle w:val="BodyTextIndent3"/>
              <w:spacing w:after="80"/>
              <w:ind w:firstLine="0"/>
              <w:rPr>
                <w:rFonts w:ascii="Times New Roman" w:hAnsi="Times New Roman"/>
                <w:color w:val="000000"/>
                <w:lang w:val="pt-BR"/>
              </w:rPr>
            </w:pPr>
            <w:r w:rsidRPr="00275BAF">
              <w:rPr>
                <w:rFonts w:ascii="Times New Roman" w:hAnsi="Times New Roman"/>
                <w:color w:val="000000"/>
                <w:lang w:val="pt-BR"/>
              </w:rPr>
              <w:t>Nông thôn miền núi</w:t>
            </w:r>
          </w:p>
        </w:tc>
        <w:tc>
          <w:tcPr>
            <w:tcW w:w="1480" w:type="dxa"/>
            <w:vAlign w:val="center"/>
          </w:tcPr>
          <w:p w:rsidR="00032B88" w:rsidRPr="00275BAF" w:rsidRDefault="00032B88" w:rsidP="0037280F">
            <w:pPr>
              <w:pStyle w:val="BodyTextIndent3"/>
              <w:spacing w:after="80"/>
              <w:ind w:firstLine="0"/>
              <w:jc w:val="center"/>
              <w:rPr>
                <w:rFonts w:ascii="Times New Roman" w:hAnsi="Times New Roman"/>
                <w:color w:val="000000"/>
                <w:lang w:val="pt-BR"/>
              </w:rPr>
            </w:pPr>
            <w:r w:rsidRPr="00275BAF">
              <w:rPr>
                <w:rFonts w:ascii="Times New Roman" w:hAnsi="Times New Roman"/>
                <w:color w:val="000000"/>
                <w:lang w:val="pt-BR"/>
              </w:rPr>
              <w:t>1,4</w:t>
            </w:r>
          </w:p>
        </w:tc>
      </w:tr>
      <w:tr w:rsidR="00032B88" w:rsidRPr="00275BAF" w:rsidTr="0037280F">
        <w:trPr>
          <w:jc w:val="center"/>
        </w:trPr>
        <w:tc>
          <w:tcPr>
            <w:tcW w:w="9054" w:type="dxa"/>
            <w:gridSpan w:val="3"/>
          </w:tcPr>
          <w:p w:rsidR="00032B88" w:rsidRPr="00275BAF" w:rsidRDefault="00032B88" w:rsidP="0037280F">
            <w:pPr>
              <w:pStyle w:val="BodyTextIndent3"/>
              <w:spacing w:after="80"/>
              <w:ind w:firstLine="0"/>
              <w:rPr>
                <w:rFonts w:ascii="Times New Roman" w:hAnsi="Times New Roman"/>
                <w:b/>
                <w:bCs/>
                <w:i/>
                <w:color w:val="000000"/>
                <w:lang w:val="pt-BR"/>
              </w:rPr>
            </w:pPr>
            <w:r w:rsidRPr="00275BAF">
              <w:rPr>
                <w:rFonts w:ascii="Times New Roman" w:hAnsi="Times New Roman"/>
                <w:b/>
                <w:bCs/>
                <w:i/>
                <w:color w:val="000000"/>
                <w:lang w:val="pt-BR"/>
              </w:rPr>
              <w:t>Chú thích:</w:t>
            </w:r>
          </w:p>
          <w:p w:rsidR="00032B88" w:rsidRPr="00275BAF" w:rsidRDefault="00032B88" w:rsidP="0037280F">
            <w:pPr>
              <w:spacing w:before="80" w:after="80"/>
              <w:jc w:val="both"/>
              <w:rPr>
                <w:color w:val="000000"/>
                <w:lang w:val="pt-BR"/>
              </w:rPr>
            </w:pPr>
            <w:r w:rsidRPr="00275BAF">
              <w:rPr>
                <w:color w:val="000000"/>
                <w:vertAlign w:val="superscript"/>
                <w:lang w:val="pt-BR"/>
              </w:rPr>
              <w:t>(1)</w:t>
            </w:r>
            <w:r w:rsidRPr="00275BAF">
              <w:rPr>
                <w:color w:val="000000"/>
                <w:lang w:val="pt-BR"/>
              </w:rPr>
              <w:t xml:space="preserve"> Đô thị được xác định theo quy định tại Nghị định số 42/2009/NĐ-CP ngày 07 tháng 5 năm 2009 của Chính phủ về việc phân loại đô thị.</w:t>
            </w:r>
          </w:p>
          <w:p w:rsidR="00032B88" w:rsidRPr="00275BAF" w:rsidRDefault="00032B88" w:rsidP="0037280F">
            <w:pPr>
              <w:spacing w:before="80" w:after="80"/>
              <w:jc w:val="both"/>
              <w:rPr>
                <w:i/>
                <w:iCs/>
                <w:color w:val="000000"/>
                <w:lang w:val="pt-BR"/>
              </w:rPr>
            </w:pPr>
            <w:r w:rsidRPr="00275BAF">
              <w:rPr>
                <w:color w:val="000000"/>
                <w:vertAlign w:val="superscript"/>
                <w:lang w:val="pt-BR"/>
              </w:rPr>
              <w:t>(2)</w:t>
            </w:r>
            <w:r w:rsidRPr="00275BAF">
              <w:rPr>
                <w:color w:val="000000"/>
                <w:lang w:val="pt-BR"/>
              </w:rPr>
              <w:t xml:space="preserve"> Rừng đặc dụng xác định theo Luật bảo vệ và phát triển rừng ngày 14 tháng 12 năm 2004 gồm: vườn quốc gia; khu bảo tồn thiên nhiên; khu bảo vệ cảnh quan; khu rừng nghiên cứu, thực nghiệm khoa học. </w:t>
            </w:r>
          </w:p>
          <w:p w:rsidR="00032B88" w:rsidRPr="00275BAF" w:rsidRDefault="00032B88" w:rsidP="0037280F">
            <w:pPr>
              <w:spacing w:before="80" w:after="80"/>
              <w:jc w:val="both"/>
              <w:rPr>
                <w:color w:val="000000"/>
                <w:lang w:val="pt-BR"/>
              </w:rPr>
            </w:pPr>
            <w:r w:rsidRPr="00275BAF" w:rsidDel="00413259">
              <w:rPr>
                <w:color w:val="000000"/>
                <w:vertAlign w:val="superscript"/>
                <w:lang w:val="pt-BR"/>
              </w:rPr>
              <w:t xml:space="preserve"> </w:t>
            </w:r>
            <w:r w:rsidRPr="00275BAF">
              <w:rPr>
                <w:color w:val="000000"/>
                <w:vertAlign w:val="superscript"/>
                <w:lang w:val="pt-BR"/>
              </w:rPr>
              <w:t>(3)</w:t>
            </w:r>
            <w:r w:rsidRPr="00275BAF">
              <w:rPr>
                <w:color w:val="000000"/>
                <w:lang w:val="pt-BR"/>
              </w:rPr>
              <w:t xml:space="preserve"> Trường hợp nguồn phát thải có khoảng cách đến 02 (hai) vùng trở lên nhỏ hơn 02 (hai) km thì áp dụng hệ số vùng, khu vực K</w:t>
            </w:r>
            <w:r w:rsidRPr="00275BAF">
              <w:rPr>
                <w:color w:val="000000"/>
                <w:vertAlign w:val="subscript"/>
                <w:lang w:val="pt-BR"/>
              </w:rPr>
              <w:t>v</w:t>
            </w:r>
            <w:r w:rsidRPr="00275BAF">
              <w:rPr>
                <w:color w:val="000000"/>
                <w:lang w:val="pt-BR"/>
              </w:rPr>
              <w:t xml:space="preserve"> đối với vùng có hệ số nhỏ nhất.</w:t>
            </w:r>
          </w:p>
        </w:tc>
      </w:tr>
    </w:tbl>
    <w:p w:rsidR="00032B88" w:rsidRPr="00275BAF" w:rsidRDefault="00032B88" w:rsidP="00032B88">
      <w:pPr>
        <w:spacing w:before="360" w:after="240"/>
        <w:jc w:val="center"/>
        <w:rPr>
          <w:b/>
          <w:bCs/>
        </w:rPr>
      </w:pPr>
      <w:bookmarkStart w:id="1" w:name="dieu_3_1"/>
      <w:r w:rsidRPr="00275BAF">
        <w:rPr>
          <w:b/>
          <w:bCs/>
        </w:rPr>
        <w:t>3. QUY ĐỊNH VỀ VẬN HÀNH VÀ GIÁM SÁT</w:t>
      </w:r>
    </w:p>
    <w:bookmarkEnd w:id="1"/>
    <w:p w:rsidR="00032B88" w:rsidRPr="00275BAF" w:rsidRDefault="00032B88" w:rsidP="00032B88">
      <w:pPr>
        <w:spacing w:before="120" w:after="120" w:line="340" w:lineRule="exact"/>
        <w:ind w:firstLine="720"/>
        <w:jc w:val="both"/>
        <w:rPr>
          <w:b/>
          <w:bCs/>
          <w:lang w:val="pt-BR"/>
        </w:rPr>
      </w:pPr>
      <w:r w:rsidRPr="00275BAF">
        <w:rPr>
          <w:b/>
          <w:bCs/>
          <w:lang w:val="pt-BR"/>
        </w:rPr>
        <w:t>3.1. Vận hành lò đốt chất thải rắn sinh hoạt</w:t>
      </w:r>
    </w:p>
    <w:p w:rsidR="00032B88" w:rsidRPr="00275BAF" w:rsidRDefault="00032B88" w:rsidP="00032B88">
      <w:pPr>
        <w:pStyle w:val="ndieund"/>
        <w:spacing w:before="120" w:line="340" w:lineRule="exact"/>
        <w:ind w:right="28"/>
        <w:rPr>
          <w:rFonts w:ascii="Times New Roman" w:hAnsi="Times New Roman"/>
          <w:spacing w:val="8"/>
          <w:szCs w:val="28"/>
          <w:lang w:val="pt-BR"/>
        </w:rPr>
      </w:pPr>
      <w:r w:rsidRPr="00275BAF">
        <w:rPr>
          <w:rFonts w:ascii="Times New Roman" w:hAnsi="Times New Roman"/>
          <w:spacing w:val="8"/>
          <w:szCs w:val="28"/>
          <w:lang w:val="pt-BR"/>
        </w:rPr>
        <w:t>3.1.1. Phải xây dựng và thực hiện quy trình vận hành an toàn lò đốt CTRSH, trong đó lưu ý các nội dung sau:</w:t>
      </w:r>
    </w:p>
    <w:p w:rsidR="00032B88" w:rsidRPr="00275BAF" w:rsidRDefault="00032B88" w:rsidP="00032B88">
      <w:pPr>
        <w:pStyle w:val="ndieund"/>
        <w:spacing w:before="120" w:line="340" w:lineRule="exact"/>
        <w:ind w:right="28"/>
        <w:rPr>
          <w:rFonts w:ascii="Times New Roman" w:hAnsi="Times New Roman"/>
          <w:spacing w:val="8"/>
          <w:szCs w:val="28"/>
          <w:lang w:val="pt-BR"/>
        </w:rPr>
      </w:pPr>
      <w:r w:rsidRPr="00275BAF">
        <w:rPr>
          <w:rFonts w:ascii="Times New Roman" w:hAnsi="Times New Roman"/>
          <w:spacing w:val="8"/>
          <w:szCs w:val="28"/>
          <w:lang w:val="pt-BR"/>
        </w:rPr>
        <w:lastRenderedPageBreak/>
        <w:t xml:space="preserve">a) Quy trình khởi động lò đốt CTRSH phải theo trình tự như sau (trừ những trường hợp lò đốt CTRSH có quy trình hoạt động đặc biệt do nhà sản xuất quy định và được xem xét, chấp thuận bởi cơ quan </w:t>
      </w:r>
      <w:r w:rsidRPr="00275BAF">
        <w:rPr>
          <w:rFonts w:ascii="Times New Roman" w:hAnsi="Times New Roman"/>
          <w:color w:val="000000"/>
        </w:rPr>
        <w:t>xác nhận bảo đảm yêu cầu bảo vệ môi trường đối với cơ sở xử lý CTRSH</w:t>
      </w:r>
      <w:r w:rsidRPr="00275BAF">
        <w:rPr>
          <w:rFonts w:ascii="Times New Roman" w:hAnsi="Times New Roman"/>
          <w:spacing w:val="8"/>
          <w:szCs w:val="28"/>
          <w:lang w:val="pt-BR"/>
        </w:rPr>
        <w:t>):</w:t>
      </w:r>
    </w:p>
    <w:p w:rsidR="00032B88" w:rsidRPr="00275BAF" w:rsidRDefault="00032B88" w:rsidP="00032B88">
      <w:pPr>
        <w:pStyle w:val="ndieund"/>
        <w:spacing w:before="120" w:line="340" w:lineRule="exact"/>
        <w:ind w:right="28"/>
        <w:rPr>
          <w:rFonts w:ascii="Times New Roman" w:hAnsi="Times New Roman"/>
          <w:spacing w:val="8"/>
          <w:szCs w:val="28"/>
          <w:lang w:val="pt-BR"/>
        </w:rPr>
      </w:pPr>
      <w:r w:rsidRPr="00275BAF">
        <w:rPr>
          <w:rFonts w:ascii="Times New Roman" w:hAnsi="Times New Roman"/>
          <w:spacing w:val="8"/>
          <w:szCs w:val="28"/>
          <w:lang w:val="pt-BR"/>
        </w:rPr>
        <w:t>- Bước 1: Khởi động hệ thống xử lý khí thải;</w:t>
      </w:r>
    </w:p>
    <w:p w:rsidR="00032B88" w:rsidRPr="00275BAF" w:rsidRDefault="00032B88" w:rsidP="00032B88">
      <w:pPr>
        <w:pStyle w:val="ndieund"/>
        <w:spacing w:before="120" w:line="340" w:lineRule="exact"/>
        <w:ind w:right="28"/>
        <w:rPr>
          <w:rFonts w:ascii="Times New Roman" w:hAnsi="Times New Roman"/>
          <w:spacing w:val="8"/>
          <w:szCs w:val="28"/>
          <w:lang w:val="pt-BR"/>
        </w:rPr>
      </w:pPr>
      <w:r w:rsidRPr="00275BAF">
        <w:rPr>
          <w:rFonts w:ascii="Times New Roman" w:hAnsi="Times New Roman"/>
          <w:spacing w:val="8"/>
          <w:szCs w:val="28"/>
          <w:lang w:val="pt-BR"/>
        </w:rPr>
        <w:t>- Bước 2: Khởi động và sấy nóng tất cả các vùng đốt</w:t>
      </w:r>
      <w:r w:rsidRPr="00275BAF">
        <w:rPr>
          <w:rFonts w:ascii="Times New Roman" w:hAnsi="Times New Roman"/>
          <w:spacing w:val="8"/>
          <w:szCs w:val="28"/>
          <w:lang w:val="vi-VN"/>
        </w:rPr>
        <w:t>;</w:t>
      </w:r>
      <w:r w:rsidRPr="00275BAF">
        <w:rPr>
          <w:rFonts w:ascii="Times New Roman" w:hAnsi="Times New Roman"/>
          <w:spacing w:val="8"/>
          <w:szCs w:val="28"/>
          <w:lang w:val="pt-BR"/>
        </w:rPr>
        <w:t xml:space="preserve"> </w:t>
      </w:r>
    </w:p>
    <w:p w:rsidR="00032B88" w:rsidRPr="00275BAF" w:rsidRDefault="00032B88" w:rsidP="00032B88">
      <w:pPr>
        <w:pStyle w:val="ndieund"/>
        <w:spacing w:before="120" w:line="340" w:lineRule="exact"/>
        <w:ind w:right="28"/>
        <w:rPr>
          <w:rFonts w:ascii="Times New Roman" w:hAnsi="Times New Roman"/>
          <w:spacing w:val="8"/>
          <w:szCs w:val="28"/>
          <w:lang w:val="pt-BR"/>
        </w:rPr>
      </w:pPr>
      <w:r w:rsidRPr="00275BAF">
        <w:rPr>
          <w:rFonts w:ascii="Times New Roman" w:hAnsi="Times New Roman"/>
          <w:spacing w:val="8"/>
          <w:szCs w:val="28"/>
          <w:lang w:val="pt-BR"/>
        </w:rPr>
        <w:t xml:space="preserve">- Bước 3: Chính thức nạp CTRSH vào lò đốt CTRSH. </w:t>
      </w:r>
    </w:p>
    <w:p w:rsidR="00032B88" w:rsidRPr="00275BAF" w:rsidRDefault="00032B88" w:rsidP="00032B88">
      <w:pPr>
        <w:pStyle w:val="ndieund"/>
        <w:spacing w:before="120" w:line="340" w:lineRule="exact"/>
        <w:ind w:right="28"/>
        <w:rPr>
          <w:rFonts w:ascii="Times New Roman" w:hAnsi="Times New Roman"/>
          <w:spacing w:val="8"/>
          <w:szCs w:val="28"/>
          <w:lang w:val="pt-BR"/>
        </w:rPr>
      </w:pPr>
      <w:r w:rsidRPr="00275BAF">
        <w:rPr>
          <w:rFonts w:ascii="Times New Roman" w:hAnsi="Times New Roman"/>
          <w:spacing w:val="8"/>
          <w:szCs w:val="28"/>
          <w:lang w:val="pt-BR"/>
        </w:rPr>
        <w:t>b) Quy trình kết thúc hoạt động lò đốt CTRSH phải được thực hiện theo trình tự sau:</w:t>
      </w:r>
    </w:p>
    <w:p w:rsidR="00032B88" w:rsidRPr="00275BAF" w:rsidRDefault="00032B88" w:rsidP="00032B88">
      <w:pPr>
        <w:pStyle w:val="ndieund"/>
        <w:spacing w:before="120" w:line="340" w:lineRule="exact"/>
        <w:ind w:right="28"/>
        <w:rPr>
          <w:rFonts w:ascii="Times New Roman" w:hAnsi="Times New Roman"/>
          <w:spacing w:val="8"/>
          <w:szCs w:val="28"/>
          <w:lang w:val="pt-BR"/>
        </w:rPr>
      </w:pPr>
      <w:r w:rsidRPr="00275BAF">
        <w:rPr>
          <w:rFonts w:ascii="Times New Roman" w:hAnsi="Times New Roman"/>
          <w:spacing w:val="8"/>
          <w:szCs w:val="28"/>
          <w:lang w:val="pt-BR"/>
        </w:rPr>
        <w:t>- Bước 1: Ngừng nạp CTRSH;</w:t>
      </w:r>
    </w:p>
    <w:p w:rsidR="00032B88" w:rsidRPr="00275BAF" w:rsidRDefault="00032B88" w:rsidP="00032B88">
      <w:pPr>
        <w:pStyle w:val="ndieund"/>
        <w:spacing w:before="120" w:line="340" w:lineRule="exact"/>
        <w:ind w:right="28"/>
        <w:rPr>
          <w:rFonts w:ascii="Times New Roman" w:hAnsi="Times New Roman"/>
          <w:spacing w:val="8"/>
          <w:szCs w:val="28"/>
          <w:lang w:val="pt-BR"/>
        </w:rPr>
      </w:pPr>
      <w:r w:rsidRPr="00275BAF">
        <w:rPr>
          <w:rFonts w:ascii="Times New Roman" w:hAnsi="Times New Roman"/>
          <w:spacing w:val="8"/>
          <w:szCs w:val="28"/>
          <w:lang w:val="pt-BR"/>
        </w:rPr>
        <w:t>- Bước 2: Ngừng hệ thống xử lý khí thải khi nhiệt độ vùng đốt sơ cấp xuống dưới 200 (hai trăm) °C.</w:t>
      </w:r>
    </w:p>
    <w:p w:rsidR="00032B88" w:rsidRPr="00275BAF" w:rsidRDefault="00032B88" w:rsidP="00032B88">
      <w:pPr>
        <w:pStyle w:val="ndieund"/>
        <w:spacing w:before="120" w:line="340" w:lineRule="exact"/>
        <w:ind w:right="28"/>
        <w:rPr>
          <w:rFonts w:ascii="Times New Roman" w:hAnsi="Times New Roman"/>
          <w:spacing w:val="8"/>
          <w:szCs w:val="28"/>
          <w:lang w:val="pt-BR"/>
        </w:rPr>
      </w:pPr>
      <w:r w:rsidRPr="00275BAF">
        <w:rPr>
          <w:rFonts w:ascii="Times New Roman" w:hAnsi="Times New Roman"/>
          <w:spacing w:val="8"/>
          <w:szCs w:val="28"/>
          <w:lang w:val="pt-BR"/>
        </w:rPr>
        <w:lastRenderedPageBreak/>
        <w:t>3.1.2. CTRSH</w:t>
      </w:r>
      <w:r w:rsidRPr="00275BAF">
        <w:rPr>
          <w:rFonts w:ascii="Times New Roman" w:hAnsi="Times New Roman"/>
          <w:spacing w:val="8"/>
          <w:szCs w:val="28"/>
          <w:lang w:val="vi-VN"/>
        </w:rPr>
        <w:t xml:space="preserve"> </w:t>
      </w:r>
      <w:r w:rsidRPr="00275BAF">
        <w:rPr>
          <w:rFonts w:ascii="Times New Roman" w:hAnsi="Times New Roman"/>
          <w:spacing w:val="8"/>
          <w:szCs w:val="28"/>
          <w:lang w:val="pt-BR"/>
        </w:rPr>
        <w:t xml:space="preserve">phải được kiểm soát trước khi được nạp vào lò đốt CTRSH để không ảnh hưởng đến việc vận hành bình thường của lò đốt CTRSH; </w:t>
      </w:r>
      <w:r w:rsidRPr="00275BAF">
        <w:rPr>
          <w:rFonts w:ascii="Times New Roman" w:hAnsi="Times New Roman"/>
          <w:color w:val="000000"/>
          <w:lang w:val="pt-BR"/>
        </w:rPr>
        <w:t>k</w:t>
      </w:r>
      <w:r w:rsidRPr="00275BAF">
        <w:rPr>
          <w:rFonts w:ascii="Times New Roman" w:hAnsi="Times New Roman"/>
          <w:color w:val="000000"/>
          <w:lang w:val="vi-VN"/>
        </w:rPr>
        <w:t>hông đưa vào lò đốt CTRSH</w:t>
      </w:r>
      <w:r w:rsidRPr="00275BAF">
        <w:rPr>
          <w:rFonts w:ascii="Times New Roman" w:hAnsi="Times New Roman"/>
          <w:color w:val="000000"/>
        </w:rPr>
        <w:t>:</w:t>
      </w:r>
      <w:r w:rsidRPr="00275BAF">
        <w:rPr>
          <w:rFonts w:ascii="Times New Roman" w:hAnsi="Times New Roman"/>
          <w:color w:val="000000"/>
          <w:lang w:val="pt-BR"/>
        </w:rPr>
        <w:t xml:space="preserve"> chất thải </w:t>
      </w:r>
      <w:r w:rsidRPr="00275BAF">
        <w:rPr>
          <w:rFonts w:ascii="Times New Roman" w:hAnsi="Times New Roman"/>
          <w:color w:val="000000"/>
          <w:lang w:val="vi-VN"/>
        </w:rPr>
        <w:t>có nguy cơ gây nổ</w:t>
      </w:r>
      <w:r w:rsidRPr="00275BAF">
        <w:rPr>
          <w:rFonts w:ascii="Times New Roman" w:hAnsi="Times New Roman"/>
          <w:color w:val="000000"/>
        </w:rPr>
        <w:t>; chất thải có tính ăn mòn; hóa chất và bao bì hóa chất bảo vệ thực vật; chất thải có chứa thủy ngân, chì, cadimi vượt ngưỡng chất thải nguy hại</w:t>
      </w:r>
      <w:r w:rsidRPr="00275BAF">
        <w:rPr>
          <w:rFonts w:ascii="Times New Roman" w:hAnsi="Times New Roman"/>
          <w:spacing w:val="8"/>
          <w:szCs w:val="28"/>
          <w:lang w:val="pt-BR"/>
        </w:rPr>
        <w:t>.</w:t>
      </w:r>
    </w:p>
    <w:p w:rsidR="00032B88" w:rsidRPr="00275BAF" w:rsidRDefault="00032B88" w:rsidP="00032B88">
      <w:pPr>
        <w:pStyle w:val="ndieund"/>
        <w:spacing w:before="120" w:line="340" w:lineRule="exact"/>
        <w:ind w:right="28"/>
        <w:rPr>
          <w:rFonts w:ascii="Times New Roman" w:hAnsi="Times New Roman"/>
          <w:spacing w:val="8"/>
          <w:szCs w:val="28"/>
          <w:lang w:val="pt-BR"/>
        </w:rPr>
      </w:pPr>
      <w:r w:rsidRPr="00275BAF">
        <w:rPr>
          <w:rFonts w:ascii="Times New Roman" w:hAnsi="Times New Roman"/>
          <w:spacing w:val="8"/>
          <w:szCs w:val="28"/>
          <w:lang w:val="pt-BR"/>
        </w:rPr>
        <w:t>3.1.3. Có biện pháp kỹ thuật để lấy tro xỉ ra khỏi vùng đốt sơ cấp trong quá trình vận hành một cách thuận lợi để bảo đảm lò đốt CTRSH hoạt động liên tục, không gián đoạn.</w:t>
      </w:r>
    </w:p>
    <w:p w:rsidR="00032B88" w:rsidRPr="00275BAF" w:rsidRDefault="00032B88" w:rsidP="00032B88">
      <w:pPr>
        <w:pStyle w:val="ndieund"/>
        <w:spacing w:before="120" w:line="340" w:lineRule="exact"/>
        <w:ind w:right="28"/>
        <w:rPr>
          <w:rFonts w:ascii="Times New Roman" w:hAnsi="Times New Roman"/>
          <w:spacing w:val="8"/>
          <w:szCs w:val="28"/>
          <w:lang w:val="pt-BR"/>
        </w:rPr>
      </w:pPr>
      <w:r w:rsidRPr="00275BAF">
        <w:rPr>
          <w:rFonts w:ascii="Times New Roman" w:hAnsi="Times New Roman"/>
          <w:spacing w:val="8"/>
          <w:szCs w:val="28"/>
          <w:lang w:val="pt-BR"/>
        </w:rPr>
        <w:t>3.1.4. Phải lập nhật ký vận hành lò đốt CTRSH, trong đó ghi rõ số lượng, thời gian vận hành và tên người vận hành, nhiệt độ tại các vị trí có lắp đặt thiết bị đo nhiệt độ.</w:t>
      </w:r>
    </w:p>
    <w:p w:rsidR="00032B88" w:rsidRPr="00275BAF" w:rsidRDefault="00032B88" w:rsidP="00032B88">
      <w:pPr>
        <w:spacing w:before="120" w:after="120" w:line="340" w:lineRule="exact"/>
        <w:ind w:firstLine="720"/>
        <w:rPr>
          <w:b/>
          <w:bCs/>
        </w:rPr>
      </w:pPr>
      <w:r w:rsidRPr="00275BAF">
        <w:rPr>
          <w:b/>
          <w:bCs/>
        </w:rPr>
        <w:t>3.</w:t>
      </w:r>
      <w:r w:rsidRPr="00275BAF">
        <w:rPr>
          <w:b/>
          <w:bCs/>
          <w:lang w:val="pt-BR"/>
        </w:rPr>
        <w:t>2</w:t>
      </w:r>
      <w:r w:rsidRPr="00275BAF">
        <w:rPr>
          <w:b/>
          <w:bCs/>
        </w:rPr>
        <w:t>. Giám sát lò đốt chất thải rắn sinh hoạt</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3.</w:t>
      </w:r>
      <w:r w:rsidRPr="00275BAF">
        <w:rPr>
          <w:rFonts w:ascii="Times New Roman" w:hAnsi="Times New Roman"/>
          <w:spacing w:val="8"/>
          <w:szCs w:val="28"/>
          <w:lang w:val="pt-BR"/>
        </w:rPr>
        <w:t>2</w:t>
      </w:r>
      <w:r w:rsidRPr="00275BAF">
        <w:rPr>
          <w:rFonts w:ascii="Times New Roman" w:hAnsi="Times New Roman"/>
          <w:spacing w:val="8"/>
          <w:szCs w:val="28"/>
          <w:lang w:val="vi-VN"/>
        </w:rPr>
        <w:t xml:space="preserve">.1. Lò đốt CTRSH phải lắp thiết bị </w:t>
      </w:r>
      <w:r w:rsidRPr="00275BAF">
        <w:rPr>
          <w:rFonts w:ascii="Times New Roman" w:hAnsi="Times New Roman"/>
          <w:spacing w:val="8"/>
          <w:szCs w:val="28"/>
        </w:rPr>
        <w:t xml:space="preserve">đo, </w:t>
      </w:r>
      <w:r w:rsidRPr="00275BAF">
        <w:rPr>
          <w:rFonts w:ascii="Times New Roman" w:hAnsi="Times New Roman"/>
          <w:spacing w:val="8"/>
          <w:szCs w:val="28"/>
          <w:lang w:val="vi-VN"/>
        </w:rPr>
        <w:t xml:space="preserve">hiển thị nhiệt độ trong các vùng đốt. Đối với lò đốt có công suất lớn hơn hoặc bằng 500kg/h phải lắp </w:t>
      </w:r>
      <w:r w:rsidRPr="00275BAF">
        <w:rPr>
          <w:rFonts w:ascii="Times New Roman" w:hAnsi="Times New Roman"/>
          <w:spacing w:val="8"/>
          <w:szCs w:val="28"/>
          <w:lang w:val="vi-VN"/>
        </w:rPr>
        <w:lastRenderedPageBreak/>
        <w:t xml:space="preserve">thiết bị </w:t>
      </w:r>
      <w:r w:rsidRPr="00275BAF">
        <w:rPr>
          <w:rFonts w:ascii="Times New Roman" w:hAnsi="Times New Roman"/>
          <w:spacing w:val="8"/>
          <w:szCs w:val="28"/>
        </w:rPr>
        <w:t xml:space="preserve">đo, </w:t>
      </w:r>
      <w:r w:rsidRPr="00275BAF">
        <w:rPr>
          <w:rFonts w:ascii="Times New Roman" w:hAnsi="Times New Roman"/>
          <w:spacing w:val="8"/>
          <w:szCs w:val="28"/>
          <w:lang w:val="vi-VN"/>
        </w:rPr>
        <w:t xml:space="preserve">hiển thị nhiệt độ dòng khí </w:t>
      </w:r>
      <w:r w:rsidRPr="00275BAF">
        <w:rPr>
          <w:rFonts w:ascii="Times New Roman" w:hAnsi="Times New Roman"/>
          <w:spacing w:val="8"/>
          <w:szCs w:val="28"/>
        </w:rPr>
        <w:t>thải ngay sau bộ phận</w:t>
      </w:r>
      <w:r w:rsidRPr="00275BAF">
        <w:rPr>
          <w:rFonts w:ascii="Times New Roman" w:hAnsi="Times New Roman"/>
          <w:spacing w:val="8"/>
          <w:szCs w:val="28"/>
          <w:lang w:val="vi-VN"/>
        </w:rPr>
        <w:t xml:space="preserve"> giải nhiệt.</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3.2.2. Việc giám sát môi trường định kỳ đối với lò đốt CTRSH phải được thực hiện theo quy định hiện hành và yêu cầu của cơ quan quản lý môi trường.</w:t>
      </w:r>
    </w:p>
    <w:p w:rsidR="00032B88" w:rsidRPr="00275BAF" w:rsidRDefault="00032B88" w:rsidP="00032B88">
      <w:pPr>
        <w:spacing w:before="360" w:after="240"/>
        <w:jc w:val="center"/>
        <w:rPr>
          <w:b/>
          <w:bCs/>
        </w:rPr>
      </w:pPr>
      <w:bookmarkStart w:id="2" w:name="dieu_4"/>
      <w:r w:rsidRPr="00275BAF">
        <w:rPr>
          <w:b/>
          <w:bCs/>
        </w:rPr>
        <w:t>4. PHƯƠNG PHÁP XÁC ĐỊNH</w:t>
      </w:r>
    </w:p>
    <w:bookmarkEnd w:id="2"/>
    <w:p w:rsidR="00032B88" w:rsidRPr="00275BAF" w:rsidRDefault="00032B88" w:rsidP="00032B88">
      <w:pPr>
        <w:spacing w:before="120" w:after="120" w:line="340" w:lineRule="exact"/>
        <w:ind w:firstLine="720"/>
        <w:jc w:val="both"/>
        <w:rPr>
          <w:bCs/>
        </w:rPr>
      </w:pPr>
      <w:r w:rsidRPr="00275BAF">
        <w:rPr>
          <w:bCs/>
        </w:rPr>
        <w:t>4.1. Phương pháp lấy mẫu và xác định giá trị các thông số được thực hiện theo các tiêu chuẩn trong Bảng 4 dưới đây.</w:t>
      </w:r>
    </w:p>
    <w:p w:rsidR="00032B88" w:rsidRPr="00275BAF" w:rsidRDefault="00032B88" w:rsidP="00032B88">
      <w:pPr>
        <w:spacing w:before="120" w:after="120" w:line="340" w:lineRule="exact"/>
        <w:jc w:val="center"/>
        <w:rPr>
          <w:b/>
          <w:bCs/>
        </w:rPr>
      </w:pPr>
      <w:r w:rsidRPr="00275BAF">
        <w:rPr>
          <w:b/>
          <w:bCs/>
        </w:rPr>
        <w:t xml:space="preserve">Bảng 4. Phương pháp lấy mẫu và xác định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835"/>
        <w:gridCol w:w="6423"/>
      </w:tblGrid>
      <w:tr w:rsidR="00032B88" w:rsidRPr="00275BAF" w:rsidTr="0037280F">
        <w:trPr>
          <w:cantSplit/>
          <w:tblHeader/>
        </w:trPr>
        <w:tc>
          <w:tcPr>
            <w:tcW w:w="817" w:type="dxa"/>
            <w:shd w:val="clear" w:color="auto" w:fill="auto"/>
            <w:vAlign w:val="center"/>
          </w:tcPr>
          <w:p w:rsidR="00032B88" w:rsidRPr="00275BAF" w:rsidRDefault="00032B88" w:rsidP="0037280F">
            <w:pPr>
              <w:spacing w:line="340" w:lineRule="exact"/>
              <w:jc w:val="center"/>
              <w:rPr>
                <w:b/>
                <w:bCs/>
              </w:rPr>
            </w:pPr>
            <w:r w:rsidRPr="00275BAF">
              <w:rPr>
                <w:b/>
                <w:bCs/>
              </w:rPr>
              <w:t>TT</w:t>
            </w:r>
          </w:p>
        </w:tc>
        <w:tc>
          <w:tcPr>
            <w:tcW w:w="1850" w:type="dxa"/>
            <w:shd w:val="clear" w:color="auto" w:fill="auto"/>
            <w:vAlign w:val="center"/>
          </w:tcPr>
          <w:p w:rsidR="00032B88" w:rsidRPr="00275BAF" w:rsidRDefault="00032B88" w:rsidP="0037280F">
            <w:pPr>
              <w:spacing w:line="340" w:lineRule="exact"/>
              <w:jc w:val="center"/>
              <w:rPr>
                <w:b/>
                <w:bCs/>
              </w:rPr>
            </w:pPr>
            <w:r w:rsidRPr="00275BAF">
              <w:rPr>
                <w:b/>
                <w:bCs/>
              </w:rPr>
              <w:t>Thông số</w:t>
            </w:r>
          </w:p>
        </w:tc>
        <w:tc>
          <w:tcPr>
            <w:tcW w:w="6621" w:type="dxa"/>
            <w:shd w:val="clear" w:color="auto" w:fill="auto"/>
          </w:tcPr>
          <w:p w:rsidR="00032B88" w:rsidRPr="00275BAF" w:rsidRDefault="00032B88" w:rsidP="0037280F">
            <w:pPr>
              <w:spacing w:line="340" w:lineRule="exact"/>
              <w:jc w:val="center"/>
              <w:rPr>
                <w:b/>
                <w:bCs/>
              </w:rPr>
            </w:pPr>
            <w:r w:rsidRPr="00275BAF">
              <w:rPr>
                <w:b/>
                <w:bCs/>
              </w:rPr>
              <w:t>Phương pháp phân tích, số hiệu tiêu chuẩn</w:t>
            </w:r>
          </w:p>
        </w:tc>
      </w:tr>
      <w:tr w:rsidR="00032B88" w:rsidRPr="00275BAF" w:rsidTr="0037280F">
        <w:tc>
          <w:tcPr>
            <w:tcW w:w="817" w:type="dxa"/>
            <w:shd w:val="clear" w:color="auto" w:fill="auto"/>
            <w:vAlign w:val="center"/>
          </w:tcPr>
          <w:p w:rsidR="00032B88" w:rsidRPr="00275BAF" w:rsidRDefault="00032B88" w:rsidP="0037280F">
            <w:pPr>
              <w:spacing w:line="340" w:lineRule="exact"/>
              <w:jc w:val="center"/>
              <w:rPr>
                <w:bCs/>
              </w:rPr>
            </w:pPr>
            <w:r w:rsidRPr="00275BAF">
              <w:rPr>
                <w:bCs/>
              </w:rPr>
              <w:t>1</w:t>
            </w:r>
          </w:p>
        </w:tc>
        <w:tc>
          <w:tcPr>
            <w:tcW w:w="1850" w:type="dxa"/>
            <w:shd w:val="clear" w:color="auto" w:fill="auto"/>
            <w:vAlign w:val="center"/>
          </w:tcPr>
          <w:p w:rsidR="00032B88" w:rsidRPr="00275BAF" w:rsidRDefault="00032B88" w:rsidP="0037280F">
            <w:pPr>
              <w:spacing w:line="340" w:lineRule="exact"/>
              <w:rPr>
                <w:bCs/>
              </w:rPr>
            </w:pPr>
            <w:r w:rsidRPr="00275BAF">
              <w:rPr>
                <w:color w:val="000000"/>
              </w:rPr>
              <w:t>Bụi tổng</w:t>
            </w:r>
          </w:p>
        </w:tc>
        <w:tc>
          <w:tcPr>
            <w:tcW w:w="6621" w:type="dxa"/>
            <w:shd w:val="clear" w:color="auto" w:fill="auto"/>
          </w:tcPr>
          <w:p w:rsidR="00032B88" w:rsidRPr="00275BAF" w:rsidRDefault="00032B88" w:rsidP="0037280F">
            <w:pPr>
              <w:spacing w:line="340" w:lineRule="exact"/>
              <w:jc w:val="both"/>
              <w:rPr>
                <w:bCs/>
              </w:rPr>
            </w:pPr>
            <w:r w:rsidRPr="00275BAF">
              <w:rPr>
                <w:bCs/>
              </w:rPr>
              <w:t>- TCVN 5977: 2009 Sự phát thải của nguồn tĩnh - Xác định nồng độ khối lượng của bụi bằng phương pháp thủ công.</w:t>
            </w:r>
          </w:p>
          <w:p w:rsidR="00032B88" w:rsidRPr="00275BAF" w:rsidRDefault="00032B88" w:rsidP="0037280F">
            <w:pPr>
              <w:spacing w:line="340" w:lineRule="exact"/>
              <w:jc w:val="both"/>
              <w:rPr>
                <w:bCs/>
              </w:rPr>
            </w:pPr>
            <w:r w:rsidRPr="00275BAF">
              <w:rPr>
                <w:bCs/>
              </w:rPr>
              <w:t>- EPA 5 (Determination of particulate matter emissions from stationary sources) - Xác định bụi tổng trong khí thải từ nguồn cố định.</w:t>
            </w:r>
          </w:p>
        </w:tc>
      </w:tr>
      <w:tr w:rsidR="00032B88" w:rsidRPr="00275BAF" w:rsidTr="0037280F">
        <w:tc>
          <w:tcPr>
            <w:tcW w:w="817" w:type="dxa"/>
            <w:shd w:val="clear" w:color="auto" w:fill="auto"/>
            <w:vAlign w:val="center"/>
          </w:tcPr>
          <w:p w:rsidR="00032B88" w:rsidRPr="00275BAF" w:rsidRDefault="00032B88" w:rsidP="0037280F">
            <w:pPr>
              <w:spacing w:line="340" w:lineRule="exact"/>
              <w:jc w:val="center"/>
              <w:rPr>
                <w:bCs/>
              </w:rPr>
            </w:pPr>
            <w:r w:rsidRPr="00275BAF">
              <w:rPr>
                <w:bCs/>
              </w:rPr>
              <w:t>2</w:t>
            </w:r>
          </w:p>
        </w:tc>
        <w:tc>
          <w:tcPr>
            <w:tcW w:w="1850" w:type="dxa"/>
            <w:shd w:val="clear" w:color="auto" w:fill="auto"/>
            <w:vAlign w:val="center"/>
          </w:tcPr>
          <w:p w:rsidR="00032B88" w:rsidRPr="00275BAF" w:rsidRDefault="00032B88" w:rsidP="0037280F">
            <w:pPr>
              <w:spacing w:line="340" w:lineRule="exact"/>
              <w:rPr>
                <w:bCs/>
              </w:rPr>
            </w:pPr>
            <w:r w:rsidRPr="00275BAF">
              <w:rPr>
                <w:color w:val="000000"/>
              </w:rPr>
              <w:t>Axit Clohydric, HCl</w:t>
            </w:r>
          </w:p>
        </w:tc>
        <w:tc>
          <w:tcPr>
            <w:tcW w:w="6621" w:type="dxa"/>
            <w:shd w:val="clear" w:color="auto" w:fill="auto"/>
          </w:tcPr>
          <w:p w:rsidR="00032B88" w:rsidRPr="00275BAF" w:rsidRDefault="00032B88" w:rsidP="0037280F">
            <w:pPr>
              <w:spacing w:line="340" w:lineRule="exact"/>
              <w:jc w:val="both"/>
              <w:rPr>
                <w:bCs/>
              </w:rPr>
            </w:pPr>
            <w:r w:rsidRPr="00275BAF">
              <w:rPr>
                <w:bCs/>
              </w:rPr>
              <w:t>- TCVN 7244: 2003 Lò đốt chất thải y tế - Phương pháp xác định nồng độ axit clohydric (HCl) trong khí thải.</w:t>
            </w:r>
          </w:p>
          <w:p w:rsidR="00032B88" w:rsidRPr="00275BAF" w:rsidRDefault="00032B88" w:rsidP="0037280F">
            <w:pPr>
              <w:spacing w:line="340" w:lineRule="exact"/>
              <w:jc w:val="both"/>
              <w:rPr>
                <w:bCs/>
              </w:rPr>
            </w:pPr>
            <w:r w:rsidRPr="00275BAF">
              <w:rPr>
                <w:bCs/>
              </w:rPr>
              <w:t>- EPA 26 (Determination of axit clohydric emissions from stationary sources) - Xác định axit clohydric trong khí thải từ nguồn cố định.</w:t>
            </w:r>
          </w:p>
        </w:tc>
      </w:tr>
      <w:tr w:rsidR="00032B88" w:rsidRPr="00275BAF" w:rsidTr="0037280F">
        <w:tc>
          <w:tcPr>
            <w:tcW w:w="817" w:type="dxa"/>
            <w:shd w:val="clear" w:color="auto" w:fill="auto"/>
            <w:vAlign w:val="center"/>
          </w:tcPr>
          <w:p w:rsidR="00032B88" w:rsidRPr="00275BAF" w:rsidRDefault="00032B88" w:rsidP="0037280F">
            <w:pPr>
              <w:spacing w:line="340" w:lineRule="exact"/>
              <w:jc w:val="center"/>
              <w:rPr>
                <w:bCs/>
              </w:rPr>
            </w:pPr>
            <w:r w:rsidRPr="00275BAF">
              <w:rPr>
                <w:bCs/>
              </w:rPr>
              <w:lastRenderedPageBreak/>
              <w:t>3</w:t>
            </w:r>
          </w:p>
        </w:tc>
        <w:tc>
          <w:tcPr>
            <w:tcW w:w="1850" w:type="dxa"/>
            <w:shd w:val="clear" w:color="auto" w:fill="auto"/>
            <w:vAlign w:val="center"/>
          </w:tcPr>
          <w:p w:rsidR="00032B88" w:rsidRPr="00275BAF" w:rsidRDefault="00032B88" w:rsidP="0037280F">
            <w:pPr>
              <w:spacing w:line="340" w:lineRule="exact"/>
              <w:rPr>
                <w:bCs/>
              </w:rPr>
            </w:pPr>
            <w:r w:rsidRPr="00275BAF">
              <w:rPr>
                <w:color w:val="000000"/>
              </w:rPr>
              <w:t>Cacbon monoxyt, CO</w:t>
            </w:r>
          </w:p>
        </w:tc>
        <w:tc>
          <w:tcPr>
            <w:tcW w:w="6621" w:type="dxa"/>
            <w:shd w:val="clear" w:color="auto" w:fill="auto"/>
          </w:tcPr>
          <w:p w:rsidR="00032B88" w:rsidRPr="00275BAF" w:rsidRDefault="00032B88" w:rsidP="0037280F">
            <w:pPr>
              <w:spacing w:line="340" w:lineRule="exact"/>
              <w:jc w:val="both"/>
              <w:rPr>
                <w:bCs/>
              </w:rPr>
            </w:pPr>
            <w:r w:rsidRPr="00275BAF">
              <w:rPr>
                <w:bCs/>
              </w:rPr>
              <w:t>- TCVN 7242: 2003 Lò đốt chất thải y tế - Phương pháp xác định nồng độ cacbon monoxit (CO) trong khí thải.</w:t>
            </w:r>
          </w:p>
          <w:p w:rsidR="00032B88" w:rsidRPr="00275BAF" w:rsidRDefault="00032B88" w:rsidP="0037280F">
            <w:pPr>
              <w:spacing w:line="340" w:lineRule="exact"/>
              <w:jc w:val="both"/>
              <w:rPr>
                <w:bCs/>
              </w:rPr>
            </w:pPr>
            <w:r w:rsidRPr="00275BAF">
              <w:rPr>
                <w:bCs/>
              </w:rPr>
              <w:t>- EPA 10 (Determination of cacbon monoxit emissions from stationary sources) - Xác định cacbon monoxit trong khí thải từ nguồn cố định.</w:t>
            </w:r>
          </w:p>
        </w:tc>
      </w:tr>
      <w:tr w:rsidR="00032B88" w:rsidRPr="00275BAF" w:rsidTr="0037280F">
        <w:tc>
          <w:tcPr>
            <w:tcW w:w="817" w:type="dxa"/>
            <w:shd w:val="clear" w:color="auto" w:fill="auto"/>
            <w:vAlign w:val="center"/>
          </w:tcPr>
          <w:p w:rsidR="00032B88" w:rsidRPr="00275BAF" w:rsidRDefault="00032B88" w:rsidP="0037280F">
            <w:pPr>
              <w:spacing w:line="340" w:lineRule="exact"/>
              <w:jc w:val="center"/>
              <w:rPr>
                <w:bCs/>
              </w:rPr>
            </w:pPr>
            <w:r w:rsidRPr="00275BAF">
              <w:rPr>
                <w:bCs/>
              </w:rPr>
              <w:t>4</w:t>
            </w:r>
          </w:p>
        </w:tc>
        <w:tc>
          <w:tcPr>
            <w:tcW w:w="1850" w:type="dxa"/>
            <w:shd w:val="clear" w:color="auto" w:fill="auto"/>
            <w:vAlign w:val="center"/>
          </w:tcPr>
          <w:p w:rsidR="00032B88" w:rsidRPr="00275BAF" w:rsidRDefault="00032B88" w:rsidP="0037280F">
            <w:pPr>
              <w:spacing w:line="340" w:lineRule="exact"/>
              <w:rPr>
                <w:bCs/>
              </w:rPr>
            </w:pPr>
            <w:r w:rsidRPr="00275BAF">
              <w:rPr>
                <w:color w:val="000000"/>
              </w:rPr>
              <w:t>Lưu huỳnh dioxyt, SO</w:t>
            </w:r>
            <w:r w:rsidRPr="00275BAF">
              <w:rPr>
                <w:color w:val="000000"/>
                <w:vertAlign w:val="subscript"/>
              </w:rPr>
              <w:t>2</w:t>
            </w:r>
          </w:p>
        </w:tc>
        <w:tc>
          <w:tcPr>
            <w:tcW w:w="6621" w:type="dxa"/>
            <w:shd w:val="clear" w:color="auto" w:fill="auto"/>
          </w:tcPr>
          <w:p w:rsidR="00032B88" w:rsidRPr="00275BAF" w:rsidRDefault="00032B88" w:rsidP="0037280F">
            <w:pPr>
              <w:spacing w:line="340" w:lineRule="exact"/>
              <w:jc w:val="both"/>
              <w:rPr>
                <w:bCs/>
              </w:rPr>
            </w:pPr>
            <w:r w:rsidRPr="00275BAF">
              <w:rPr>
                <w:bCs/>
              </w:rPr>
              <w:t>- TCVN 6750: 2005 Sự phát thải của nguồn tĩnh - Xác định nồng độ khối lượng lưu huỳnh điôxit - Phương pháp sắc ký khí ion.</w:t>
            </w:r>
          </w:p>
          <w:p w:rsidR="00032B88" w:rsidRPr="00275BAF" w:rsidRDefault="00032B88" w:rsidP="0037280F">
            <w:pPr>
              <w:spacing w:line="340" w:lineRule="exact"/>
              <w:jc w:val="both"/>
              <w:rPr>
                <w:bCs/>
              </w:rPr>
            </w:pPr>
            <w:r w:rsidRPr="00275BAF">
              <w:rPr>
                <w:bCs/>
              </w:rPr>
              <w:t>- EPA 6 (Determination of sulfur dioxide emissions from stationary sources) - Xác định lưu huỳnh điôxit trong khí thải từ nguồn cố định.</w:t>
            </w:r>
          </w:p>
          <w:p w:rsidR="00032B88" w:rsidRPr="00275BAF" w:rsidRDefault="00032B88" w:rsidP="0037280F">
            <w:pPr>
              <w:spacing w:line="340" w:lineRule="exact"/>
              <w:jc w:val="both"/>
              <w:rPr>
                <w:bCs/>
              </w:rPr>
            </w:pPr>
            <w:r w:rsidRPr="00275BAF">
              <w:rPr>
                <w:bCs/>
              </w:rPr>
              <w:t>- TCVN 5976: 1995 Khí thải nguồn tĩnh - Xác định nồng độ khối lượng của lưu huỳnh điôxit (SO2) - Đặc tính của các phương pháp đo tự động.</w:t>
            </w:r>
          </w:p>
        </w:tc>
      </w:tr>
      <w:tr w:rsidR="00032B88" w:rsidRPr="00275BAF" w:rsidTr="0037280F">
        <w:tc>
          <w:tcPr>
            <w:tcW w:w="817" w:type="dxa"/>
            <w:shd w:val="clear" w:color="auto" w:fill="auto"/>
            <w:vAlign w:val="center"/>
          </w:tcPr>
          <w:p w:rsidR="00032B88" w:rsidRPr="00275BAF" w:rsidRDefault="00032B88" w:rsidP="0037280F">
            <w:pPr>
              <w:spacing w:line="340" w:lineRule="exact"/>
              <w:jc w:val="center"/>
              <w:rPr>
                <w:bCs/>
              </w:rPr>
            </w:pPr>
            <w:r w:rsidRPr="00275BAF">
              <w:rPr>
                <w:bCs/>
              </w:rPr>
              <w:t>5</w:t>
            </w:r>
          </w:p>
        </w:tc>
        <w:tc>
          <w:tcPr>
            <w:tcW w:w="1850" w:type="dxa"/>
            <w:shd w:val="clear" w:color="auto" w:fill="auto"/>
            <w:vAlign w:val="center"/>
          </w:tcPr>
          <w:p w:rsidR="00032B88" w:rsidRPr="00275BAF" w:rsidRDefault="00032B88" w:rsidP="0037280F">
            <w:pPr>
              <w:spacing w:line="340" w:lineRule="exact"/>
              <w:rPr>
                <w:bCs/>
              </w:rPr>
            </w:pPr>
            <w:r w:rsidRPr="00275BAF">
              <w:rPr>
                <w:color w:val="000000"/>
              </w:rPr>
              <w:t>Nitơ oxyt, NO</w:t>
            </w:r>
            <w:r w:rsidRPr="00275BAF">
              <w:rPr>
                <w:color w:val="000000"/>
                <w:vertAlign w:val="subscript"/>
              </w:rPr>
              <w:t>x</w:t>
            </w:r>
            <w:r w:rsidRPr="00275BAF">
              <w:rPr>
                <w:color w:val="000000"/>
              </w:rPr>
              <w:t xml:space="preserve"> (tính theo NO</w:t>
            </w:r>
            <w:r w:rsidRPr="00275BAF">
              <w:rPr>
                <w:color w:val="000000"/>
                <w:vertAlign w:val="subscript"/>
              </w:rPr>
              <w:t>2</w:t>
            </w:r>
            <w:r w:rsidRPr="00275BAF">
              <w:rPr>
                <w:color w:val="000000"/>
              </w:rPr>
              <w:t>)</w:t>
            </w:r>
          </w:p>
        </w:tc>
        <w:tc>
          <w:tcPr>
            <w:tcW w:w="6621" w:type="dxa"/>
            <w:shd w:val="clear" w:color="auto" w:fill="auto"/>
          </w:tcPr>
          <w:p w:rsidR="00032B88" w:rsidRPr="00275BAF" w:rsidRDefault="00032B88" w:rsidP="0037280F">
            <w:pPr>
              <w:spacing w:line="340" w:lineRule="exact"/>
              <w:jc w:val="both"/>
              <w:rPr>
                <w:bCs/>
              </w:rPr>
            </w:pPr>
            <w:r w:rsidRPr="00275BAF">
              <w:rPr>
                <w:bCs/>
              </w:rPr>
              <w:t>- TCVN 7172: 2002 Sự phát thải của nguồn tĩnh - Xác định nồng độ khối lượng nitơ ôxit - Phương pháp trắc quang dùng naphtyletylendiamin.</w:t>
            </w:r>
          </w:p>
          <w:p w:rsidR="00032B88" w:rsidRPr="00275BAF" w:rsidRDefault="00032B88" w:rsidP="0037280F">
            <w:pPr>
              <w:spacing w:line="340" w:lineRule="exact"/>
              <w:jc w:val="both"/>
              <w:rPr>
                <w:bCs/>
              </w:rPr>
            </w:pPr>
            <w:r w:rsidRPr="00275BAF">
              <w:rPr>
                <w:bCs/>
              </w:rPr>
              <w:t>- EPA 7 (Determination of nitrogen oxide emissions from stationary sources) - Xác định nitơ ôxit trong khí thải từ nguồn cố định.</w:t>
            </w:r>
          </w:p>
        </w:tc>
      </w:tr>
      <w:tr w:rsidR="00032B88" w:rsidRPr="00275BAF" w:rsidTr="0037280F">
        <w:trPr>
          <w:trHeight w:val="1830"/>
        </w:trPr>
        <w:tc>
          <w:tcPr>
            <w:tcW w:w="817" w:type="dxa"/>
            <w:shd w:val="clear" w:color="auto" w:fill="auto"/>
            <w:vAlign w:val="center"/>
          </w:tcPr>
          <w:p w:rsidR="00032B88" w:rsidRPr="00275BAF" w:rsidRDefault="00032B88" w:rsidP="0037280F">
            <w:pPr>
              <w:spacing w:line="340" w:lineRule="exact"/>
              <w:jc w:val="center"/>
              <w:rPr>
                <w:bCs/>
              </w:rPr>
            </w:pPr>
            <w:r w:rsidRPr="00275BAF">
              <w:rPr>
                <w:bCs/>
              </w:rPr>
              <w:lastRenderedPageBreak/>
              <w:t>6</w:t>
            </w:r>
          </w:p>
        </w:tc>
        <w:tc>
          <w:tcPr>
            <w:tcW w:w="1850" w:type="dxa"/>
            <w:shd w:val="clear" w:color="auto" w:fill="auto"/>
            <w:vAlign w:val="center"/>
          </w:tcPr>
          <w:p w:rsidR="00032B88" w:rsidRPr="00275BAF" w:rsidRDefault="00032B88" w:rsidP="0037280F">
            <w:pPr>
              <w:spacing w:line="340" w:lineRule="exact"/>
              <w:rPr>
                <w:bCs/>
              </w:rPr>
            </w:pPr>
            <w:r w:rsidRPr="00275BAF">
              <w:rPr>
                <w:color w:val="000000"/>
              </w:rPr>
              <w:t>Thủy ngân và hợp chất tính theo thủy ngân, Hg</w:t>
            </w:r>
          </w:p>
        </w:tc>
        <w:tc>
          <w:tcPr>
            <w:tcW w:w="6621" w:type="dxa"/>
            <w:vMerge w:val="restart"/>
            <w:shd w:val="clear" w:color="auto" w:fill="auto"/>
            <w:vAlign w:val="center"/>
          </w:tcPr>
          <w:p w:rsidR="00032B88" w:rsidRPr="00275BAF" w:rsidRDefault="00032B88" w:rsidP="0037280F">
            <w:pPr>
              <w:spacing w:line="340" w:lineRule="exact"/>
              <w:jc w:val="both"/>
              <w:rPr>
                <w:bCs/>
              </w:rPr>
            </w:pPr>
            <w:r w:rsidRPr="00275BAF">
              <w:rPr>
                <w:bCs/>
              </w:rPr>
              <w:t>- TCVN 7557-2: 2005 Lò đốt chất thải rắn y tế - Phương pháp xác định kim loại nặng trong khí thải. Phần 2: Phương pháp xác định nồng độ thủy ngân bằng phương pháp quang phổ hấp thụ nguyên tử kỹ thuật hóa hơi lạnh.</w:t>
            </w:r>
          </w:p>
          <w:p w:rsidR="00032B88" w:rsidRPr="00275BAF" w:rsidRDefault="00032B88" w:rsidP="0037280F">
            <w:pPr>
              <w:spacing w:line="340" w:lineRule="exact"/>
              <w:jc w:val="both"/>
              <w:rPr>
                <w:bCs/>
              </w:rPr>
            </w:pPr>
            <w:r w:rsidRPr="00275BAF">
              <w:rPr>
                <w:bCs/>
              </w:rPr>
              <w:t>- TCVN 7557-1: 2005 Lò đốt chất thải rắn y tế - Phương pháp xác định kim loại nặng trong khí thải. Phần 3: Phương pháp xác định nồng độ Cadimi và chì bằng quang phổ hấp thụ ngọn lửa và không ngọn lửa.</w:t>
            </w:r>
          </w:p>
          <w:p w:rsidR="00032B88" w:rsidRPr="00275BAF" w:rsidRDefault="00032B88" w:rsidP="0037280F">
            <w:pPr>
              <w:spacing w:line="340" w:lineRule="exact"/>
              <w:jc w:val="both"/>
              <w:rPr>
                <w:bCs/>
              </w:rPr>
            </w:pPr>
            <w:r w:rsidRPr="00275BAF">
              <w:rPr>
                <w:bCs/>
              </w:rPr>
              <w:t>- EPA 29 (Determination of metals emissions from stationary sources) - Xác định kim loại trong khí thải từ nguồn cố định.</w:t>
            </w:r>
          </w:p>
          <w:p w:rsidR="00032B88" w:rsidRPr="00275BAF" w:rsidRDefault="00032B88" w:rsidP="0037280F">
            <w:pPr>
              <w:spacing w:line="340" w:lineRule="exact"/>
              <w:jc w:val="both"/>
              <w:rPr>
                <w:bCs/>
              </w:rPr>
            </w:pPr>
            <w:r w:rsidRPr="00275BAF">
              <w:rPr>
                <w:bCs/>
              </w:rPr>
              <w:t>- EPA 12 (Determination of inorganic lead emissions from stationary sources) - Xác định chì vô cơ trong khí thải từ nguồn cố định.</w:t>
            </w:r>
          </w:p>
        </w:tc>
      </w:tr>
      <w:tr w:rsidR="00032B88" w:rsidRPr="00275BAF" w:rsidTr="0037280F">
        <w:trPr>
          <w:trHeight w:val="1403"/>
        </w:trPr>
        <w:tc>
          <w:tcPr>
            <w:tcW w:w="817" w:type="dxa"/>
            <w:shd w:val="clear" w:color="auto" w:fill="auto"/>
            <w:vAlign w:val="center"/>
          </w:tcPr>
          <w:p w:rsidR="00032B88" w:rsidRPr="00275BAF" w:rsidRDefault="00032B88" w:rsidP="0037280F">
            <w:pPr>
              <w:spacing w:line="340" w:lineRule="exact"/>
              <w:jc w:val="center"/>
              <w:rPr>
                <w:bCs/>
              </w:rPr>
            </w:pPr>
            <w:r w:rsidRPr="00275BAF">
              <w:rPr>
                <w:bCs/>
              </w:rPr>
              <w:t>7</w:t>
            </w:r>
          </w:p>
        </w:tc>
        <w:tc>
          <w:tcPr>
            <w:tcW w:w="1850" w:type="dxa"/>
            <w:shd w:val="clear" w:color="auto" w:fill="auto"/>
            <w:vAlign w:val="center"/>
          </w:tcPr>
          <w:p w:rsidR="00032B88" w:rsidRPr="00275BAF" w:rsidRDefault="00032B88" w:rsidP="0037280F">
            <w:pPr>
              <w:spacing w:line="340" w:lineRule="exact"/>
              <w:rPr>
                <w:bCs/>
              </w:rPr>
            </w:pPr>
            <w:r w:rsidRPr="00275BAF">
              <w:rPr>
                <w:color w:val="000000"/>
              </w:rPr>
              <w:t>Cadimi và hợp chất tính theo Cadimi, Cd</w:t>
            </w:r>
          </w:p>
        </w:tc>
        <w:tc>
          <w:tcPr>
            <w:tcW w:w="6621" w:type="dxa"/>
            <w:vMerge/>
            <w:shd w:val="clear" w:color="auto" w:fill="auto"/>
          </w:tcPr>
          <w:p w:rsidR="00032B88" w:rsidRPr="00275BAF" w:rsidRDefault="00032B88" w:rsidP="0037280F">
            <w:pPr>
              <w:spacing w:line="340" w:lineRule="exact"/>
              <w:jc w:val="both"/>
              <w:rPr>
                <w:bCs/>
              </w:rPr>
            </w:pPr>
          </w:p>
        </w:tc>
      </w:tr>
      <w:tr w:rsidR="00032B88" w:rsidRPr="00275BAF" w:rsidTr="0037280F">
        <w:trPr>
          <w:trHeight w:val="1551"/>
        </w:trPr>
        <w:tc>
          <w:tcPr>
            <w:tcW w:w="817" w:type="dxa"/>
            <w:shd w:val="clear" w:color="auto" w:fill="auto"/>
            <w:vAlign w:val="center"/>
          </w:tcPr>
          <w:p w:rsidR="00032B88" w:rsidRPr="00275BAF" w:rsidRDefault="00032B88" w:rsidP="0037280F">
            <w:pPr>
              <w:spacing w:line="340" w:lineRule="exact"/>
              <w:jc w:val="center"/>
              <w:rPr>
                <w:bCs/>
              </w:rPr>
            </w:pPr>
            <w:r w:rsidRPr="00275BAF">
              <w:rPr>
                <w:bCs/>
              </w:rPr>
              <w:t>8</w:t>
            </w:r>
          </w:p>
        </w:tc>
        <w:tc>
          <w:tcPr>
            <w:tcW w:w="1850" w:type="dxa"/>
            <w:shd w:val="clear" w:color="auto" w:fill="auto"/>
            <w:vAlign w:val="center"/>
          </w:tcPr>
          <w:p w:rsidR="00032B88" w:rsidRPr="00275BAF" w:rsidRDefault="00032B88" w:rsidP="0037280F">
            <w:pPr>
              <w:spacing w:line="340" w:lineRule="exact"/>
              <w:rPr>
                <w:bCs/>
              </w:rPr>
            </w:pPr>
            <w:r w:rsidRPr="00275BAF">
              <w:rPr>
                <w:color w:val="000000"/>
              </w:rPr>
              <w:t>Chì và hợp chất tính theo chì, Pb</w:t>
            </w:r>
          </w:p>
        </w:tc>
        <w:tc>
          <w:tcPr>
            <w:tcW w:w="6621" w:type="dxa"/>
            <w:vMerge/>
            <w:shd w:val="clear" w:color="auto" w:fill="auto"/>
          </w:tcPr>
          <w:p w:rsidR="00032B88" w:rsidRPr="00275BAF" w:rsidRDefault="00032B88" w:rsidP="0037280F">
            <w:pPr>
              <w:spacing w:line="340" w:lineRule="exact"/>
              <w:jc w:val="both"/>
              <w:rPr>
                <w:bCs/>
              </w:rPr>
            </w:pPr>
          </w:p>
        </w:tc>
      </w:tr>
      <w:tr w:rsidR="00032B88" w:rsidRPr="00275BAF" w:rsidTr="0037280F">
        <w:tc>
          <w:tcPr>
            <w:tcW w:w="817" w:type="dxa"/>
            <w:shd w:val="clear" w:color="auto" w:fill="auto"/>
            <w:vAlign w:val="center"/>
          </w:tcPr>
          <w:p w:rsidR="00032B88" w:rsidRPr="00275BAF" w:rsidRDefault="00032B88" w:rsidP="0037280F">
            <w:pPr>
              <w:spacing w:line="340" w:lineRule="exact"/>
              <w:jc w:val="center"/>
              <w:rPr>
                <w:bCs/>
              </w:rPr>
            </w:pPr>
            <w:r w:rsidRPr="00275BAF">
              <w:rPr>
                <w:bCs/>
              </w:rPr>
              <w:t>9</w:t>
            </w:r>
          </w:p>
        </w:tc>
        <w:tc>
          <w:tcPr>
            <w:tcW w:w="1850" w:type="dxa"/>
            <w:shd w:val="clear" w:color="auto" w:fill="auto"/>
            <w:vAlign w:val="center"/>
          </w:tcPr>
          <w:p w:rsidR="00032B88" w:rsidRPr="00275BAF" w:rsidRDefault="00032B88" w:rsidP="0037280F">
            <w:pPr>
              <w:spacing w:line="340" w:lineRule="exact"/>
              <w:rPr>
                <w:bCs/>
              </w:rPr>
            </w:pPr>
            <w:r w:rsidRPr="00275BAF">
              <w:rPr>
                <w:color w:val="000000"/>
              </w:rPr>
              <w:t>Tổng đioxin/furan, PCDD/PCDF</w:t>
            </w:r>
          </w:p>
        </w:tc>
        <w:tc>
          <w:tcPr>
            <w:tcW w:w="6621" w:type="dxa"/>
            <w:shd w:val="clear" w:color="auto" w:fill="auto"/>
          </w:tcPr>
          <w:p w:rsidR="00032B88" w:rsidRPr="00275BAF" w:rsidRDefault="00032B88" w:rsidP="0037280F">
            <w:pPr>
              <w:spacing w:line="340" w:lineRule="exact"/>
              <w:jc w:val="both"/>
              <w:rPr>
                <w:bCs/>
              </w:rPr>
            </w:pPr>
            <w:r w:rsidRPr="00275BAF">
              <w:rPr>
                <w:bCs/>
              </w:rPr>
              <w:t>- TCVN 5756-1: 2005 Lò đốt chất thải rắn y tế - Xác định nồng độ khối lượng PCDD/PCDF - Phần 1 : Lấy mẫu.</w:t>
            </w:r>
          </w:p>
          <w:p w:rsidR="00032B88" w:rsidRPr="00275BAF" w:rsidRDefault="00032B88" w:rsidP="0037280F">
            <w:pPr>
              <w:spacing w:line="340" w:lineRule="exact"/>
              <w:jc w:val="both"/>
              <w:rPr>
                <w:bCs/>
              </w:rPr>
            </w:pPr>
            <w:r w:rsidRPr="00275BAF">
              <w:rPr>
                <w:bCs/>
              </w:rPr>
              <w:t>- TCVN 5756-2: 2005 Lò đốt chất thải rắn y tế - Xác định nồng độ khối lượng PCDD/PCDF - Phần 2 : Chiết và làm sạch.</w:t>
            </w:r>
          </w:p>
          <w:p w:rsidR="00032B88" w:rsidRPr="00275BAF" w:rsidRDefault="00032B88" w:rsidP="0037280F">
            <w:pPr>
              <w:spacing w:line="340" w:lineRule="exact"/>
              <w:jc w:val="both"/>
              <w:rPr>
                <w:bCs/>
              </w:rPr>
            </w:pPr>
            <w:r w:rsidRPr="00275BAF">
              <w:rPr>
                <w:bCs/>
              </w:rPr>
              <w:t>- TCVN 5756-1: 2005 Lò đốt chất thải rắn y tế - Xác định nồng độ khối lượng PCDD/PCDF - Phần 3 : Định tính và định lượng.</w:t>
            </w:r>
          </w:p>
        </w:tc>
      </w:tr>
    </w:tbl>
    <w:p w:rsidR="00032B88" w:rsidRPr="00275BAF" w:rsidRDefault="00032B88" w:rsidP="00032B88">
      <w:pPr>
        <w:spacing w:before="120" w:after="120" w:line="340" w:lineRule="exact"/>
        <w:ind w:firstLine="720"/>
        <w:jc w:val="both"/>
        <w:rPr>
          <w:bCs/>
        </w:rPr>
      </w:pPr>
      <w:r w:rsidRPr="00275BAF">
        <w:rPr>
          <w:bCs/>
        </w:rPr>
        <w:t>4.2. Chấp nhận các phương pháp phân tích hướng dẫn trong các tiêu chuẩn quốc gia và quốc tế khác có độ chính xác tương đương hoặc cao hơn so với các tiêu chuẩn viện dẫn ở mục 4.1.</w:t>
      </w:r>
    </w:p>
    <w:p w:rsidR="00032B88" w:rsidRPr="00275BAF" w:rsidRDefault="00032B88" w:rsidP="00032B88">
      <w:pPr>
        <w:spacing w:before="360" w:after="240"/>
        <w:jc w:val="center"/>
        <w:rPr>
          <w:b/>
          <w:bCs/>
        </w:rPr>
      </w:pPr>
      <w:bookmarkStart w:id="3" w:name="dieu_5"/>
      <w:r w:rsidRPr="00275BAF">
        <w:rPr>
          <w:b/>
          <w:bCs/>
        </w:rPr>
        <w:t>5. TỔ CHỨC THỰC HIỆN</w:t>
      </w:r>
    </w:p>
    <w:bookmarkEnd w:id="3"/>
    <w:p w:rsidR="00032B88" w:rsidRPr="00275BAF" w:rsidRDefault="00032B88" w:rsidP="00032B88">
      <w:pPr>
        <w:pStyle w:val="ndieund"/>
        <w:spacing w:before="120" w:line="340" w:lineRule="exact"/>
        <w:ind w:right="28"/>
        <w:rPr>
          <w:rFonts w:ascii="Times New Roman" w:hAnsi="Times New Roman"/>
          <w:spacing w:val="8"/>
          <w:szCs w:val="28"/>
        </w:rPr>
      </w:pPr>
      <w:r w:rsidRPr="00275BAF">
        <w:rPr>
          <w:rFonts w:ascii="Times New Roman" w:hAnsi="Times New Roman"/>
          <w:spacing w:val="8"/>
          <w:szCs w:val="28"/>
        </w:rPr>
        <w:lastRenderedPageBreak/>
        <w:t xml:space="preserve">5.1. </w:t>
      </w:r>
      <w:r w:rsidRPr="00275BAF">
        <w:rPr>
          <w:rFonts w:ascii="Times New Roman" w:hAnsi="Times New Roman"/>
          <w:spacing w:val="8"/>
          <w:szCs w:val="28"/>
          <w:lang w:val="vi-VN"/>
        </w:rPr>
        <w:t>Lò đốt CTRSH đã chính thức hoạt động trước ngày Quy chuẩn này có hiệu lực được tạm thời miễn áp dụng</w:t>
      </w:r>
      <w:r w:rsidRPr="00275BAF">
        <w:rPr>
          <w:rFonts w:ascii="Times New Roman" w:hAnsi="Times New Roman"/>
          <w:spacing w:val="8"/>
          <w:szCs w:val="28"/>
        </w:rPr>
        <w:t xml:space="preserve"> quy định tại Mục 2.2 trong thời gian 06 (sáu) tháng và các</w:t>
      </w:r>
      <w:r w:rsidRPr="00275BAF">
        <w:rPr>
          <w:rFonts w:ascii="Times New Roman" w:hAnsi="Times New Roman"/>
          <w:spacing w:val="8"/>
          <w:szCs w:val="28"/>
          <w:lang w:val="vi-VN"/>
        </w:rPr>
        <w:t xml:space="preserve"> quy định</w:t>
      </w:r>
      <w:r w:rsidRPr="00275BAF">
        <w:rPr>
          <w:rFonts w:ascii="Times New Roman" w:hAnsi="Times New Roman"/>
          <w:spacing w:val="8"/>
          <w:szCs w:val="28"/>
        </w:rPr>
        <w:t xml:space="preserve"> khác tại Quy chuẩn này với</w:t>
      </w:r>
      <w:r w:rsidRPr="00275BAF">
        <w:rPr>
          <w:rFonts w:ascii="Times New Roman" w:hAnsi="Times New Roman"/>
          <w:spacing w:val="8"/>
          <w:szCs w:val="28"/>
          <w:lang w:val="vi-VN"/>
        </w:rPr>
        <w:t xml:space="preserve"> thời gian 03 (ba) năm kể từ ngày Quy chuẩn này có hiệu lực</w:t>
      </w:r>
      <w:r w:rsidRPr="00275BAF">
        <w:rPr>
          <w:rFonts w:ascii="Times New Roman" w:hAnsi="Times New Roman"/>
          <w:spacing w:val="8"/>
          <w:szCs w:val="28"/>
        </w:rPr>
        <w:t xml:space="preserve">. </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5.2. Trong thời gian chưa có Quy chuẩn riêng, lò đốt CTRSH mới với công nghệ tiên tiến hơn (ví dụ như lò đốt plasma) được miễn áp dụng một số quy định (trừ Mục 2.2) tại Quy chuẩn này nếu được xem xét, chấp thuận trong quá trình thẩm định công nghệ, phê duyệt báo cáo đánh giá tác động môi trường và được xác nhận</w:t>
      </w:r>
      <w:r w:rsidRPr="00275BAF">
        <w:rPr>
          <w:rFonts w:ascii="Times New Roman" w:hAnsi="Times New Roman"/>
          <w:spacing w:val="8"/>
          <w:szCs w:val="28"/>
        </w:rPr>
        <w:t xml:space="preserve"> bảo</w:t>
      </w:r>
      <w:r w:rsidRPr="00275BAF">
        <w:rPr>
          <w:rFonts w:ascii="Times New Roman" w:hAnsi="Times New Roman"/>
          <w:spacing w:val="8"/>
          <w:szCs w:val="28"/>
          <w:lang w:val="vi-VN"/>
        </w:rPr>
        <w:t xml:space="preserve"> đảm yêu cầu bảo vệ môi trường đối với cơ sở xử lý CTRSH theo quy định của pháp luật.</w:t>
      </w:r>
    </w:p>
    <w:p w:rsidR="00032B88" w:rsidRPr="00275BAF" w:rsidRDefault="00032B88" w:rsidP="00032B88">
      <w:pPr>
        <w:pStyle w:val="ndieund"/>
        <w:spacing w:before="120" w:line="340" w:lineRule="exact"/>
        <w:ind w:right="28"/>
        <w:rPr>
          <w:rFonts w:ascii="Times New Roman" w:hAnsi="Times New Roman"/>
          <w:spacing w:val="8"/>
          <w:szCs w:val="28"/>
          <w:lang w:val="vi-VN"/>
        </w:rPr>
      </w:pPr>
      <w:r w:rsidRPr="00275BAF">
        <w:rPr>
          <w:rFonts w:ascii="Times New Roman" w:hAnsi="Times New Roman"/>
          <w:spacing w:val="8"/>
          <w:szCs w:val="28"/>
          <w:lang w:val="vi-VN"/>
        </w:rPr>
        <w:t>5.</w:t>
      </w:r>
      <w:r w:rsidRPr="00275BAF">
        <w:rPr>
          <w:rFonts w:ascii="Times New Roman" w:hAnsi="Times New Roman"/>
          <w:spacing w:val="8"/>
          <w:szCs w:val="28"/>
        </w:rPr>
        <w:t>3</w:t>
      </w:r>
      <w:r w:rsidRPr="00275BAF">
        <w:rPr>
          <w:rFonts w:ascii="Times New Roman" w:hAnsi="Times New Roman"/>
          <w:spacing w:val="8"/>
          <w:szCs w:val="28"/>
          <w:lang w:val="vi-VN"/>
        </w:rPr>
        <w:t>. Cơ quan quản lý nhà nước về môi trường có trách nhiệm hướng dẫn, kiểm tra, giám sát việc thực hiện Quy chuẩn này.</w:t>
      </w:r>
    </w:p>
    <w:p w:rsidR="00032B88" w:rsidRPr="00275BAF" w:rsidRDefault="00032B88" w:rsidP="00032B88">
      <w:pPr>
        <w:pStyle w:val="ndieund"/>
        <w:spacing w:before="120" w:line="340" w:lineRule="exact"/>
        <w:ind w:right="28"/>
        <w:rPr>
          <w:rFonts w:ascii="Times New Roman" w:hAnsi="Times New Roman"/>
          <w:color w:val="000000"/>
          <w:lang w:val="vi-VN"/>
        </w:rPr>
      </w:pPr>
      <w:r w:rsidRPr="00275BAF">
        <w:rPr>
          <w:rFonts w:ascii="Times New Roman" w:hAnsi="Times New Roman"/>
          <w:spacing w:val="8"/>
          <w:szCs w:val="28"/>
          <w:lang w:val="vi-VN"/>
        </w:rPr>
        <w:lastRenderedPageBreak/>
        <w:t>5.</w:t>
      </w:r>
      <w:r w:rsidRPr="00275BAF">
        <w:rPr>
          <w:rFonts w:ascii="Times New Roman" w:hAnsi="Times New Roman"/>
          <w:spacing w:val="8"/>
          <w:szCs w:val="28"/>
        </w:rPr>
        <w:t>4</w:t>
      </w:r>
      <w:r w:rsidRPr="00275BAF">
        <w:rPr>
          <w:rFonts w:ascii="Times New Roman" w:hAnsi="Times New Roman"/>
          <w:spacing w:val="8"/>
          <w:szCs w:val="28"/>
          <w:lang w:val="vi-VN"/>
        </w:rPr>
        <w:t>. Trường hợp các quy định viện dẫn t</w:t>
      </w:r>
      <w:r w:rsidRPr="00275BAF">
        <w:rPr>
          <w:rFonts w:ascii="Times New Roman" w:hAnsi="Times New Roman"/>
          <w:spacing w:val="8"/>
          <w:szCs w:val="28"/>
        </w:rPr>
        <w:t>ại</w:t>
      </w:r>
      <w:r w:rsidRPr="00275BAF">
        <w:rPr>
          <w:rFonts w:ascii="Times New Roman" w:hAnsi="Times New Roman"/>
          <w:spacing w:val="8"/>
          <w:szCs w:val="28"/>
          <w:lang w:val="vi-VN"/>
        </w:rPr>
        <w:t xml:space="preserve"> Quy chuẩn này sửa đổi, bổ sung hoặc thay thế thì áp dụng theo quy định mới./.</w:t>
      </w:r>
    </w:p>
    <w:p w:rsidR="00032B88" w:rsidRPr="00275BAF" w:rsidRDefault="00032B88" w:rsidP="00032B88">
      <w:pPr>
        <w:spacing w:before="120"/>
        <w:jc w:val="center"/>
        <w:rPr>
          <w:b/>
          <w:color w:val="000000"/>
        </w:rPr>
      </w:pPr>
      <w:r w:rsidRPr="00275BAF">
        <w:rPr>
          <w:b/>
          <w:color w:val="000000"/>
        </w:rPr>
        <w:br w:type="page"/>
      </w:r>
      <w:r w:rsidRPr="00275BAF">
        <w:rPr>
          <w:b/>
          <w:color w:val="000000"/>
          <w:lang w:val="pt-BR"/>
        </w:rPr>
        <w:lastRenderedPageBreak/>
        <w:t>PHỤ LỤC</w:t>
      </w:r>
    </w:p>
    <w:p w:rsidR="00032B88" w:rsidRPr="00275BAF" w:rsidRDefault="00032B88" w:rsidP="00032B88">
      <w:pPr>
        <w:spacing w:before="120"/>
        <w:jc w:val="center"/>
        <w:rPr>
          <w:i/>
          <w:color w:val="000000"/>
        </w:rPr>
      </w:pPr>
      <w:bookmarkStart w:id="4" w:name="muc_2_name"/>
      <w:r w:rsidRPr="00275BAF">
        <w:rPr>
          <w:b/>
          <w:color w:val="000000"/>
        </w:rPr>
        <w:t>CÁCH TÍNH MỘT SỐ THÔNG SỐ KỸ THUẬT CỦA LÒ ĐỐT CHẤT THẢI RẮN SINH HOẠT</w:t>
      </w:r>
      <w:r w:rsidRPr="00275BAF" w:rsidDel="008F7614">
        <w:rPr>
          <w:b/>
          <w:color w:val="000000"/>
        </w:rPr>
        <w:t xml:space="preserve"> </w:t>
      </w:r>
      <w:r w:rsidRPr="00275BAF">
        <w:rPr>
          <w:b/>
          <w:color w:val="000000"/>
        </w:rPr>
        <w:br/>
      </w:r>
      <w:bookmarkEnd w:id="4"/>
      <w:r w:rsidRPr="00275BAF">
        <w:rPr>
          <w:i/>
          <w:color w:val="000000"/>
        </w:rPr>
        <w:t>(Kèm theo QCVN 61-MT:2016/BTNMT - Quy chuẩn kỹ thuật quốc gia về lò đốt chất thải rắn sinh hoạt)</w:t>
      </w:r>
    </w:p>
    <w:p w:rsidR="00032B88" w:rsidRPr="00275BAF" w:rsidRDefault="00032B88" w:rsidP="00032B88">
      <w:pPr>
        <w:pStyle w:val="ndieund"/>
        <w:spacing w:before="120" w:line="400" w:lineRule="exact"/>
        <w:ind w:right="28"/>
        <w:rPr>
          <w:rFonts w:ascii="Times New Roman" w:hAnsi="Times New Roman"/>
          <w:b/>
          <w:spacing w:val="8"/>
          <w:szCs w:val="28"/>
          <w:lang w:val="pt-BR"/>
        </w:rPr>
      </w:pPr>
      <w:r w:rsidRPr="00275BAF">
        <w:rPr>
          <w:rFonts w:ascii="Times New Roman" w:hAnsi="Times New Roman"/>
          <w:b/>
          <w:spacing w:val="8"/>
          <w:szCs w:val="28"/>
          <w:lang w:val="pt-BR"/>
        </w:rPr>
        <w:t>1. Cách tính thể tích của vùng đốt sơ cấp</w:t>
      </w:r>
    </w:p>
    <w:p w:rsidR="00032B88" w:rsidRPr="00275BAF" w:rsidRDefault="00032B88" w:rsidP="00032B88">
      <w:pPr>
        <w:pStyle w:val="ndieund"/>
        <w:spacing w:before="120" w:line="400" w:lineRule="exact"/>
        <w:ind w:right="28"/>
        <w:rPr>
          <w:rFonts w:ascii="Times New Roman" w:hAnsi="Times New Roman"/>
          <w:spacing w:val="8"/>
          <w:szCs w:val="28"/>
          <w:lang w:val="pt-BR"/>
        </w:rPr>
      </w:pPr>
      <w:r w:rsidRPr="00275BAF">
        <w:rPr>
          <w:rFonts w:ascii="Times New Roman" w:hAnsi="Times New Roman"/>
          <w:spacing w:val="8"/>
          <w:szCs w:val="28"/>
          <w:lang w:val="pt-BR"/>
        </w:rPr>
        <w:t>Thể tích của vùng đốt sơ cấp được tính theo công thức:</w:t>
      </w:r>
    </w:p>
    <w:p w:rsidR="00032B88" w:rsidRPr="00275BAF" w:rsidRDefault="00032B88" w:rsidP="00032B88">
      <w:pPr>
        <w:spacing w:before="120"/>
        <w:jc w:val="center"/>
        <w:rPr>
          <w:color w:val="000000"/>
        </w:rPr>
      </w:pPr>
      <w:r w:rsidRPr="00275BAF">
        <w:rPr>
          <w:color w:val="000000"/>
          <w:position w:val="-28"/>
        </w:rPr>
        <w:object w:dxaOrig="1300" w:dyaOrig="660">
          <v:shape id="_x0000_i1026" type="#_x0000_t75" style="width:90.75pt;height:45.75pt" o:ole="">
            <v:imagedata r:id="rId13" o:title=""/>
          </v:shape>
          <o:OLEObject Type="Embed" ProgID="Equation.3" ShapeID="_x0000_i1026" DrawAspect="Content" ObjectID="_1519799886" r:id="rId14"/>
        </w:object>
      </w:r>
    </w:p>
    <w:p w:rsidR="00032B88" w:rsidRPr="00275BAF" w:rsidRDefault="00032B88" w:rsidP="00032B88">
      <w:pPr>
        <w:pStyle w:val="ndieund"/>
        <w:spacing w:before="120" w:line="400" w:lineRule="exact"/>
        <w:ind w:right="28"/>
        <w:rPr>
          <w:rFonts w:ascii="Times New Roman" w:hAnsi="Times New Roman"/>
          <w:spacing w:val="8"/>
          <w:szCs w:val="28"/>
        </w:rPr>
      </w:pPr>
      <w:r w:rsidRPr="00275BAF">
        <w:rPr>
          <w:rFonts w:ascii="Times New Roman" w:hAnsi="Times New Roman"/>
          <w:spacing w:val="8"/>
          <w:szCs w:val="28"/>
        </w:rPr>
        <w:t>Hoặc:</w:t>
      </w:r>
    </w:p>
    <w:p w:rsidR="00032B88" w:rsidRPr="00275BAF" w:rsidRDefault="00032B88" w:rsidP="00032B88">
      <w:pPr>
        <w:spacing w:before="120"/>
        <w:jc w:val="center"/>
        <w:rPr>
          <w:color w:val="000000"/>
        </w:rPr>
      </w:pPr>
      <w:r w:rsidRPr="00275BAF">
        <w:rPr>
          <w:color w:val="000000"/>
          <w:position w:val="-12"/>
        </w:rPr>
        <w:object w:dxaOrig="2900" w:dyaOrig="360">
          <v:shape id="_x0000_i1027" type="#_x0000_t75" style="width:191.25pt;height:24.75pt" o:ole="">
            <v:imagedata r:id="rId15" o:title=""/>
          </v:shape>
          <o:OLEObject Type="Embed" ProgID="Equation.3" ShapeID="_x0000_i1027" DrawAspect="Content" ObjectID="_1519799887" r:id="rId16"/>
        </w:object>
      </w:r>
    </w:p>
    <w:p w:rsidR="00032B88" w:rsidRPr="00275BAF" w:rsidRDefault="00032B88" w:rsidP="00032B88">
      <w:pPr>
        <w:spacing w:before="120"/>
        <w:ind w:firstLine="720"/>
        <w:rPr>
          <w:i/>
          <w:color w:val="000000"/>
        </w:rPr>
      </w:pPr>
      <w:r w:rsidRPr="00275BAF">
        <w:rPr>
          <w:i/>
          <w:color w:val="000000"/>
        </w:rPr>
        <w:t>Trong đó:</w:t>
      </w:r>
    </w:p>
    <w:p w:rsidR="00032B88" w:rsidRPr="00275BAF" w:rsidRDefault="00032B88" w:rsidP="00032B88">
      <w:pPr>
        <w:spacing w:before="120"/>
        <w:ind w:firstLine="720"/>
        <w:jc w:val="both"/>
        <w:rPr>
          <w:color w:val="000000"/>
        </w:rPr>
      </w:pPr>
      <w:r w:rsidRPr="00275BAF">
        <w:rPr>
          <w:color w:val="000000"/>
        </w:rPr>
        <w:t>- V</w:t>
      </w:r>
      <w:r w:rsidRPr="00275BAF">
        <w:rPr>
          <w:color w:val="000000"/>
          <w:vertAlign w:val="subscript"/>
        </w:rPr>
        <w:t>sc</w:t>
      </w:r>
      <w:r w:rsidRPr="00275BAF">
        <w:rPr>
          <w:color w:val="000000"/>
        </w:rPr>
        <w:t>: Thể tích của vùng đốt sơ cấp (m</w:t>
      </w:r>
      <w:r w:rsidRPr="00275BAF">
        <w:rPr>
          <w:color w:val="000000"/>
          <w:vertAlign w:val="superscript"/>
        </w:rPr>
        <w:t>3</w:t>
      </w:r>
      <w:r w:rsidRPr="00275BAF">
        <w:rPr>
          <w:color w:val="000000"/>
        </w:rPr>
        <w:t>);</w:t>
      </w:r>
    </w:p>
    <w:p w:rsidR="00032B88" w:rsidRPr="00275BAF" w:rsidRDefault="00032B88" w:rsidP="00032B88">
      <w:pPr>
        <w:spacing w:before="120"/>
        <w:ind w:firstLine="720"/>
        <w:jc w:val="both"/>
        <w:rPr>
          <w:color w:val="000000"/>
        </w:rPr>
      </w:pPr>
      <w:r w:rsidRPr="00275BAF">
        <w:rPr>
          <w:color w:val="000000"/>
        </w:rPr>
        <w:t>- C</w:t>
      </w:r>
      <w:r w:rsidRPr="00275BAF">
        <w:rPr>
          <w:color w:val="000000"/>
          <w:vertAlign w:val="subscript"/>
        </w:rPr>
        <w:t>tk</w:t>
      </w:r>
      <w:r w:rsidRPr="00275BAF">
        <w:rPr>
          <w:color w:val="000000"/>
        </w:rPr>
        <w:t>: Công suất thiết kế của lò đốt CTRSH (kg/h);</w:t>
      </w:r>
    </w:p>
    <w:p w:rsidR="00032B88" w:rsidRPr="00275BAF" w:rsidRDefault="00032B88" w:rsidP="00032B88">
      <w:pPr>
        <w:spacing w:before="120"/>
        <w:ind w:firstLine="720"/>
        <w:jc w:val="both"/>
        <w:rPr>
          <w:color w:val="000000"/>
        </w:rPr>
      </w:pPr>
      <w:r w:rsidRPr="00275BAF">
        <w:rPr>
          <w:color w:val="000000"/>
        </w:rPr>
        <w:t>- Q: Nhiệt trị (thấp) của CTRSH (kcal/kg) (CTRSH sau khi phân loại có độ ẩm 30% có nhiệt trị trong khoảng từ 1.200kcal/kg đến 1.700kcal/kg);</w:t>
      </w:r>
    </w:p>
    <w:p w:rsidR="00032B88" w:rsidRPr="00275BAF" w:rsidRDefault="00032B88" w:rsidP="00032B88">
      <w:pPr>
        <w:spacing w:before="120"/>
        <w:ind w:firstLine="720"/>
        <w:jc w:val="both"/>
        <w:rPr>
          <w:color w:val="000000"/>
        </w:rPr>
      </w:pPr>
      <w:r w:rsidRPr="00275BAF">
        <w:rPr>
          <w:color w:val="000000"/>
        </w:rPr>
        <w:lastRenderedPageBreak/>
        <w:t>- q: Mật độ nhiệt thể tích vùng đốt (kcal/m</w:t>
      </w:r>
      <w:r w:rsidRPr="00275BAF">
        <w:rPr>
          <w:color w:val="000000"/>
          <w:vertAlign w:val="superscript"/>
        </w:rPr>
        <w:t>3</w:t>
      </w:r>
      <w:r w:rsidRPr="00275BAF">
        <w:rPr>
          <w:color w:val="000000"/>
        </w:rPr>
        <w:t>h) (đối với lò đốt CTRSH vận hành liên tục thì giá trị mật độ nhiệt thể tích vùng đốt trong khoảng từ 80.000 kcal/m</w:t>
      </w:r>
      <w:r w:rsidRPr="00275BAF">
        <w:rPr>
          <w:color w:val="000000"/>
          <w:vertAlign w:val="superscript"/>
        </w:rPr>
        <w:t>3</w:t>
      </w:r>
      <w:r w:rsidRPr="00275BAF">
        <w:rPr>
          <w:color w:val="000000"/>
        </w:rPr>
        <w:t>h đến 150.000 kcal/m</w:t>
      </w:r>
      <w:r w:rsidRPr="00275BAF">
        <w:rPr>
          <w:color w:val="000000"/>
          <w:vertAlign w:val="superscript"/>
        </w:rPr>
        <w:t>3</w:t>
      </w:r>
      <w:r w:rsidRPr="00275BAF">
        <w:rPr>
          <w:color w:val="000000"/>
        </w:rPr>
        <w:t>h).</w:t>
      </w:r>
    </w:p>
    <w:p w:rsidR="00032B88" w:rsidRPr="00275BAF" w:rsidRDefault="00032B88" w:rsidP="00032B88">
      <w:pPr>
        <w:spacing w:before="120"/>
        <w:ind w:firstLine="720"/>
        <w:rPr>
          <w:b/>
          <w:color w:val="000000"/>
        </w:rPr>
      </w:pPr>
      <w:r w:rsidRPr="00275BAF">
        <w:rPr>
          <w:b/>
          <w:color w:val="000000"/>
        </w:rPr>
        <w:t>2. Cách tính thể tích của vùng đốt thứ cấp</w:t>
      </w:r>
    </w:p>
    <w:p w:rsidR="00032B88" w:rsidRPr="00275BAF" w:rsidRDefault="00032B88" w:rsidP="00032B88">
      <w:pPr>
        <w:spacing w:before="120"/>
        <w:ind w:firstLine="720"/>
        <w:rPr>
          <w:color w:val="000000"/>
        </w:rPr>
      </w:pPr>
      <w:r w:rsidRPr="00275BAF">
        <w:rPr>
          <w:color w:val="000000"/>
        </w:rPr>
        <w:t>Thể tích của vùng đốt thứ cấp được tính theo công thức:</w:t>
      </w:r>
    </w:p>
    <w:p w:rsidR="00032B88" w:rsidRPr="00275BAF" w:rsidRDefault="00032B88" w:rsidP="00032B88">
      <w:pPr>
        <w:spacing w:before="120"/>
        <w:jc w:val="center"/>
        <w:rPr>
          <w:color w:val="000000"/>
        </w:rPr>
      </w:pPr>
      <w:r w:rsidRPr="00275BAF">
        <w:rPr>
          <w:color w:val="000000"/>
          <w:position w:val="-12"/>
        </w:rPr>
        <w:object w:dxaOrig="1140" w:dyaOrig="360">
          <v:shape id="_x0000_i1028" type="#_x0000_t75" style="width:85.5pt;height:27pt" o:ole="">
            <v:imagedata r:id="rId17" o:title=""/>
          </v:shape>
          <o:OLEObject Type="Embed" ProgID="Equation.3" ShapeID="_x0000_i1028" DrawAspect="Content" ObjectID="_1519799888" r:id="rId18"/>
        </w:object>
      </w:r>
    </w:p>
    <w:p w:rsidR="00032B88" w:rsidRPr="00275BAF" w:rsidRDefault="00032B88" w:rsidP="00032B88">
      <w:pPr>
        <w:spacing w:before="120"/>
        <w:ind w:firstLine="720"/>
        <w:jc w:val="both"/>
        <w:rPr>
          <w:i/>
          <w:color w:val="000000"/>
        </w:rPr>
      </w:pPr>
      <w:r w:rsidRPr="00275BAF">
        <w:rPr>
          <w:i/>
          <w:color w:val="000000"/>
        </w:rPr>
        <w:t>Trong đó:</w:t>
      </w:r>
    </w:p>
    <w:p w:rsidR="00032B88" w:rsidRPr="00275BAF" w:rsidRDefault="00032B88" w:rsidP="00032B88">
      <w:pPr>
        <w:spacing w:before="120"/>
        <w:ind w:firstLine="720"/>
        <w:jc w:val="both"/>
        <w:rPr>
          <w:color w:val="000000"/>
        </w:rPr>
      </w:pPr>
      <w:r w:rsidRPr="00275BAF">
        <w:rPr>
          <w:color w:val="000000"/>
        </w:rPr>
        <w:t>- V</w:t>
      </w:r>
      <w:r w:rsidRPr="00275BAF">
        <w:rPr>
          <w:color w:val="000000"/>
          <w:vertAlign w:val="subscript"/>
        </w:rPr>
        <w:t>tc</w:t>
      </w:r>
      <w:r w:rsidRPr="00275BAF">
        <w:rPr>
          <w:color w:val="000000"/>
        </w:rPr>
        <w:t>: Thể tích của vùng đốt thứ cấp (m</w:t>
      </w:r>
      <w:r w:rsidRPr="00275BAF">
        <w:rPr>
          <w:color w:val="000000"/>
          <w:vertAlign w:val="superscript"/>
        </w:rPr>
        <w:t>3</w:t>
      </w:r>
      <w:r w:rsidRPr="00275BAF">
        <w:rPr>
          <w:color w:val="000000"/>
        </w:rPr>
        <w:t>);</w:t>
      </w:r>
    </w:p>
    <w:p w:rsidR="00032B88" w:rsidRPr="00275BAF" w:rsidRDefault="00032B88" w:rsidP="00032B88">
      <w:pPr>
        <w:spacing w:before="120"/>
        <w:ind w:firstLine="720"/>
        <w:jc w:val="both"/>
        <w:rPr>
          <w:color w:val="000000"/>
        </w:rPr>
      </w:pPr>
      <w:r w:rsidRPr="00275BAF">
        <w:rPr>
          <w:color w:val="000000"/>
        </w:rPr>
        <w:t>- t</w:t>
      </w:r>
      <w:r w:rsidRPr="00275BAF">
        <w:rPr>
          <w:color w:val="000000"/>
          <w:vertAlign w:val="subscript"/>
        </w:rPr>
        <w:t>tk</w:t>
      </w:r>
      <w:r w:rsidRPr="00275BAF">
        <w:rPr>
          <w:color w:val="000000"/>
        </w:rPr>
        <w:t>: Thời gian lưu cháy thiết kế (</w:t>
      </w:r>
      <w:r w:rsidRPr="00275BAF">
        <w:rPr>
          <w:color w:val="000000"/>
        </w:rPr>
        <w:sym w:font="Symbol" w:char="F0B3"/>
      </w:r>
      <w:r w:rsidRPr="00275BAF">
        <w:rPr>
          <w:color w:val="000000"/>
        </w:rPr>
        <w:t xml:space="preserve"> 2 s);</w:t>
      </w:r>
    </w:p>
    <w:p w:rsidR="00032B88" w:rsidRPr="00275BAF" w:rsidRDefault="00032B88" w:rsidP="00032B88">
      <w:pPr>
        <w:spacing w:before="120"/>
        <w:ind w:firstLine="720"/>
        <w:jc w:val="both"/>
        <w:rPr>
          <w:color w:val="000000"/>
        </w:rPr>
      </w:pPr>
      <w:r w:rsidRPr="00275BAF">
        <w:rPr>
          <w:color w:val="000000"/>
        </w:rPr>
        <w:t>- Q: Lưu lượng của dòng khí chuyển động trong vùng đốt thứ cấp (m</w:t>
      </w:r>
      <w:r w:rsidRPr="00275BAF">
        <w:rPr>
          <w:color w:val="000000"/>
          <w:vertAlign w:val="superscript"/>
        </w:rPr>
        <w:t>3</w:t>
      </w:r>
      <w:r w:rsidRPr="00275BAF">
        <w:rPr>
          <w:color w:val="000000"/>
        </w:rPr>
        <w:t>/s).</w:t>
      </w:r>
    </w:p>
    <w:p w:rsidR="00032B88" w:rsidRPr="00275BAF" w:rsidRDefault="00032B88" w:rsidP="00032B88">
      <w:pPr>
        <w:spacing w:before="120"/>
        <w:ind w:firstLine="720"/>
        <w:jc w:val="both"/>
        <w:rPr>
          <w:b/>
          <w:color w:val="000000"/>
        </w:rPr>
      </w:pPr>
      <w:r w:rsidRPr="00275BAF">
        <w:rPr>
          <w:b/>
          <w:color w:val="000000"/>
        </w:rPr>
        <w:t>3. Cách tính công suất thực tế của lò đốt chất thải rắn sinh hoạt</w:t>
      </w:r>
    </w:p>
    <w:p w:rsidR="00032B88" w:rsidRPr="00275BAF" w:rsidRDefault="00032B88" w:rsidP="00032B88">
      <w:pPr>
        <w:spacing w:before="120"/>
        <w:ind w:firstLine="720"/>
        <w:jc w:val="both"/>
        <w:rPr>
          <w:color w:val="000000"/>
        </w:rPr>
      </w:pPr>
      <w:r w:rsidRPr="00275BAF">
        <w:rPr>
          <w:color w:val="000000"/>
        </w:rPr>
        <w:t>Công suất thực tế của một lò đốt CTRSH có thể khác với công suất thiết kế và thay đổi tùy theo tính chất của loại chất thải được nạp vào lò đốt CTRSH. Công suất thực tế được tính theo các cách dưới đây:</w:t>
      </w:r>
    </w:p>
    <w:p w:rsidR="00032B88" w:rsidRPr="00275BAF" w:rsidRDefault="00032B88" w:rsidP="00032B88">
      <w:pPr>
        <w:keepNext/>
        <w:spacing w:before="120"/>
        <w:ind w:firstLine="720"/>
        <w:rPr>
          <w:b/>
          <w:i/>
          <w:color w:val="000000"/>
        </w:rPr>
      </w:pPr>
      <w:r w:rsidRPr="00275BAF">
        <w:rPr>
          <w:b/>
          <w:i/>
          <w:color w:val="000000"/>
        </w:rPr>
        <w:lastRenderedPageBreak/>
        <w:t>3.1. Công thức tính toán khi biết nhiệt trị của chất thải rắn sinh hoạt</w:t>
      </w:r>
    </w:p>
    <w:p w:rsidR="00032B88" w:rsidRPr="00275BAF" w:rsidRDefault="00032B88" w:rsidP="00032B88">
      <w:pPr>
        <w:spacing w:before="120"/>
        <w:ind w:firstLine="720"/>
        <w:jc w:val="both"/>
        <w:rPr>
          <w:color w:val="000000"/>
        </w:rPr>
      </w:pPr>
      <w:r w:rsidRPr="00275BAF">
        <w:rPr>
          <w:color w:val="000000"/>
        </w:rPr>
        <w:t>Công suất thực tế (S) của lò đốt CTRSH khi biết nhiệt trị của chất thải được tính theo công thức sau:</w:t>
      </w:r>
    </w:p>
    <w:p w:rsidR="00032B88" w:rsidRPr="00275BAF" w:rsidRDefault="00032B88" w:rsidP="00032B88">
      <w:pPr>
        <w:spacing w:before="120"/>
        <w:jc w:val="center"/>
        <w:rPr>
          <w:color w:val="000000"/>
        </w:rPr>
      </w:pPr>
      <w:r w:rsidRPr="00275BAF">
        <w:rPr>
          <w:color w:val="000000"/>
          <w:position w:val="-28"/>
        </w:rPr>
        <w:object w:dxaOrig="1100" w:dyaOrig="660">
          <v:shape id="_x0000_i1029" type="#_x0000_t75" style="width:1in;height:43.5pt" o:ole="">
            <v:imagedata r:id="rId19" o:title=""/>
          </v:shape>
          <o:OLEObject Type="Embed" ProgID="Equation.3" ShapeID="_x0000_i1029" DrawAspect="Content" ObjectID="_1519799889" r:id="rId20"/>
        </w:object>
      </w:r>
    </w:p>
    <w:p w:rsidR="00032B88" w:rsidRPr="00275BAF" w:rsidRDefault="00032B88" w:rsidP="00032B88">
      <w:pPr>
        <w:keepNext/>
        <w:spacing w:before="120"/>
        <w:ind w:firstLine="720"/>
        <w:jc w:val="both"/>
        <w:rPr>
          <w:i/>
          <w:color w:val="000000"/>
        </w:rPr>
      </w:pPr>
      <w:r w:rsidRPr="00275BAF">
        <w:rPr>
          <w:i/>
          <w:color w:val="000000"/>
        </w:rPr>
        <w:t>Trong đó:</w:t>
      </w:r>
    </w:p>
    <w:p w:rsidR="00032B88" w:rsidRPr="00275BAF" w:rsidRDefault="00032B88" w:rsidP="00032B88">
      <w:pPr>
        <w:spacing w:before="120"/>
        <w:ind w:firstLine="720"/>
        <w:jc w:val="both"/>
        <w:rPr>
          <w:color w:val="000000"/>
        </w:rPr>
      </w:pPr>
      <w:r w:rsidRPr="00275BAF">
        <w:rPr>
          <w:color w:val="000000"/>
        </w:rPr>
        <w:t>- S: Công suất thực tế của lò đốt CTRSH (kg/h);</w:t>
      </w:r>
    </w:p>
    <w:p w:rsidR="00032B88" w:rsidRPr="00275BAF" w:rsidRDefault="00032B88" w:rsidP="00032B88">
      <w:pPr>
        <w:spacing w:before="120"/>
        <w:ind w:firstLine="720"/>
        <w:jc w:val="both"/>
        <w:rPr>
          <w:color w:val="000000"/>
        </w:rPr>
      </w:pPr>
      <w:r w:rsidRPr="00275BAF">
        <w:rPr>
          <w:color w:val="000000"/>
        </w:rPr>
        <w:t>- V</w:t>
      </w:r>
      <w:r w:rsidRPr="00275BAF">
        <w:rPr>
          <w:color w:val="000000"/>
          <w:vertAlign w:val="subscript"/>
        </w:rPr>
        <w:t>sc</w:t>
      </w:r>
      <w:r w:rsidRPr="00275BAF">
        <w:rPr>
          <w:color w:val="000000"/>
        </w:rPr>
        <w:t>: Thể tích của vùng đốt sơ cấp (m</w:t>
      </w:r>
      <w:r w:rsidRPr="00275BAF">
        <w:rPr>
          <w:color w:val="000000"/>
          <w:vertAlign w:val="superscript"/>
        </w:rPr>
        <w:t>3</w:t>
      </w:r>
      <w:r w:rsidRPr="00275BAF">
        <w:rPr>
          <w:color w:val="000000"/>
        </w:rPr>
        <w:t>);</w:t>
      </w:r>
    </w:p>
    <w:p w:rsidR="00032B88" w:rsidRPr="00275BAF" w:rsidRDefault="00032B88" w:rsidP="00032B88">
      <w:pPr>
        <w:spacing w:before="120"/>
        <w:ind w:firstLine="720"/>
        <w:jc w:val="both"/>
        <w:rPr>
          <w:color w:val="000000"/>
        </w:rPr>
      </w:pPr>
      <w:r w:rsidRPr="00275BAF">
        <w:rPr>
          <w:color w:val="000000"/>
        </w:rPr>
        <w:t>- q: Mật độ nhiệt thể tích vùng đốt (kcal/m</w:t>
      </w:r>
      <w:r w:rsidRPr="00275BAF">
        <w:rPr>
          <w:color w:val="000000"/>
          <w:vertAlign w:val="superscript"/>
        </w:rPr>
        <w:t>3</w:t>
      </w:r>
      <w:r w:rsidRPr="00275BAF">
        <w:rPr>
          <w:color w:val="000000"/>
        </w:rPr>
        <w:t>h);</w:t>
      </w:r>
    </w:p>
    <w:p w:rsidR="00032B88" w:rsidRPr="00275BAF" w:rsidRDefault="00032B88" w:rsidP="00032B88">
      <w:pPr>
        <w:spacing w:before="120"/>
        <w:ind w:firstLine="720"/>
        <w:jc w:val="both"/>
        <w:rPr>
          <w:color w:val="000000"/>
        </w:rPr>
      </w:pPr>
      <w:r w:rsidRPr="00275BAF">
        <w:rPr>
          <w:color w:val="000000"/>
        </w:rPr>
        <w:t>- Q: Nhiệt trị (thấp) của từng loại chất thải trên thực tế (kcal/kg).</w:t>
      </w:r>
    </w:p>
    <w:p w:rsidR="00032B88" w:rsidRPr="00275BAF" w:rsidRDefault="00032B88" w:rsidP="00032B88">
      <w:pPr>
        <w:spacing w:before="120"/>
        <w:ind w:firstLine="720"/>
        <w:jc w:val="both"/>
        <w:rPr>
          <w:b/>
          <w:i/>
          <w:color w:val="000000"/>
        </w:rPr>
      </w:pPr>
      <w:r w:rsidRPr="00275BAF">
        <w:rPr>
          <w:b/>
          <w:i/>
          <w:color w:val="000000"/>
        </w:rPr>
        <w:t>3.2. Cách tính căn cứ vào thực tế hoạt động của lò đốt chất thải rắn sinh hoạt</w:t>
      </w:r>
    </w:p>
    <w:p w:rsidR="00032B88" w:rsidRPr="00275BAF" w:rsidRDefault="00032B88" w:rsidP="00032B88">
      <w:pPr>
        <w:spacing w:before="120"/>
        <w:ind w:firstLine="720"/>
        <w:jc w:val="both"/>
        <w:rPr>
          <w:color w:val="000000"/>
        </w:rPr>
      </w:pPr>
      <w:r w:rsidRPr="00275BAF">
        <w:rPr>
          <w:color w:val="000000"/>
        </w:rPr>
        <w:t>Giám sát và điều chỉnh tải lượng nạp CTRSH vào lò đốt CTRSH cho đến khi lò đốt CTRSH vận hành ổn định, tuân thủ các thông số quy định tại Bảng 1, Bảng 2 của Quy chuẩn này và CTRSH được  đốt hoàn toàn trong lò đốt CTRSH trong một thời gian nhất định (ví dụ 24 giờ) đủ để bảo đảm kết quả tin cậy.</w:t>
      </w:r>
    </w:p>
    <w:p w:rsidR="00032B88" w:rsidRPr="00275BAF" w:rsidRDefault="00032B88" w:rsidP="00032B88">
      <w:pPr>
        <w:spacing w:before="120"/>
        <w:ind w:firstLine="720"/>
        <w:jc w:val="both"/>
        <w:rPr>
          <w:b/>
          <w:color w:val="000000"/>
        </w:rPr>
      </w:pPr>
      <w:r w:rsidRPr="00275BAF">
        <w:rPr>
          <w:b/>
          <w:color w:val="000000"/>
        </w:rPr>
        <w:t>4. Cách tính thời gian lưu cháy thực tế</w:t>
      </w:r>
    </w:p>
    <w:p w:rsidR="00032B88" w:rsidRPr="00275BAF" w:rsidRDefault="00032B88" w:rsidP="00032B88">
      <w:pPr>
        <w:spacing w:before="120"/>
        <w:ind w:firstLine="720"/>
        <w:jc w:val="both"/>
        <w:rPr>
          <w:color w:val="000000"/>
        </w:rPr>
      </w:pPr>
      <w:r w:rsidRPr="00275BAF">
        <w:rPr>
          <w:color w:val="000000"/>
        </w:rPr>
        <w:lastRenderedPageBreak/>
        <w:t>Trường hợp không có phương pháp đo chính xác như đo thời gian di chuyển của vật liệu (hạt) chỉ thị trong vùng đốt thứ cấp, thời gian lưu cháy thực tế của lò đốt CTRSH được tính theo công thức sau:</w:t>
      </w:r>
    </w:p>
    <w:p w:rsidR="00032B88" w:rsidRPr="00275BAF" w:rsidRDefault="00032B88" w:rsidP="00032B88">
      <w:pPr>
        <w:spacing w:before="120"/>
        <w:jc w:val="center"/>
        <w:rPr>
          <w:color w:val="000000"/>
        </w:rPr>
      </w:pPr>
      <w:r w:rsidRPr="00275BAF">
        <w:rPr>
          <w:color w:val="000000"/>
          <w:position w:val="-28"/>
        </w:rPr>
        <w:object w:dxaOrig="680" w:dyaOrig="660">
          <v:shape id="_x0000_i1030" type="#_x0000_t75" style="width:42pt;height:42pt" o:ole="">
            <v:imagedata r:id="rId21" o:title=""/>
          </v:shape>
          <o:OLEObject Type="Embed" ProgID="Equation.3" ShapeID="_x0000_i1030" DrawAspect="Content" ObjectID="_1519799890" r:id="rId22"/>
        </w:object>
      </w:r>
    </w:p>
    <w:p w:rsidR="00032B88" w:rsidRPr="00275BAF" w:rsidRDefault="00032B88" w:rsidP="00032B88">
      <w:pPr>
        <w:spacing w:before="120"/>
        <w:ind w:firstLine="720"/>
        <w:jc w:val="both"/>
        <w:rPr>
          <w:i/>
          <w:color w:val="000000"/>
        </w:rPr>
      </w:pPr>
      <w:r w:rsidRPr="00275BAF">
        <w:rPr>
          <w:i/>
          <w:color w:val="000000"/>
        </w:rPr>
        <w:t>Trong đó:</w:t>
      </w:r>
    </w:p>
    <w:p w:rsidR="00032B88" w:rsidRPr="00275BAF" w:rsidRDefault="00032B88" w:rsidP="00032B88">
      <w:pPr>
        <w:spacing w:before="120"/>
        <w:ind w:firstLine="720"/>
        <w:jc w:val="both"/>
        <w:rPr>
          <w:color w:val="000000"/>
        </w:rPr>
      </w:pPr>
      <w:r w:rsidRPr="00275BAF">
        <w:rPr>
          <w:color w:val="000000"/>
        </w:rPr>
        <w:t>- t: Thời gian lưu cháy thực tế (s);</w:t>
      </w:r>
    </w:p>
    <w:p w:rsidR="00032B88" w:rsidRPr="00275BAF" w:rsidRDefault="00032B88" w:rsidP="00032B88">
      <w:pPr>
        <w:spacing w:before="120"/>
        <w:ind w:firstLine="720"/>
        <w:jc w:val="both"/>
        <w:rPr>
          <w:color w:val="000000"/>
        </w:rPr>
      </w:pPr>
      <w:r w:rsidRPr="00275BAF">
        <w:rPr>
          <w:color w:val="000000"/>
        </w:rPr>
        <w:t>- V</w:t>
      </w:r>
      <w:r w:rsidRPr="00275BAF">
        <w:rPr>
          <w:color w:val="000000"/>
          <w:vertAlign w:val="subscript"/>
        </w:rPr>
        <w:t>tc</w:t>
      </w:r>
      <w:r w:rsidRPr="00275BAF">
        <w:rPr>
          <w:color w:val="000000"/>
        </w:rPr>
        <w:t>: Thể tích của vùng đốt thứ cấp đo trên thực tế (m</w:t>
      </w:r>
      <w:r w:rsidRPr="00275BAF">
        <w:rPr>
          <w:color w:val="000000"/>
          <w:vertAlign w:val="superscript"/>
        </w:rPr>
        <w:t>3</w:t>
      </w:r>
      <w:r w:rsidRPr="00275BAF">
        <w:rPr>
          <w:color w:val="000000"/>
        </w:rPr>
        <w:t>);</w:t>
      </w:r>
    </w:p>
    <w:p w:rsidR="00032B88" w:rsidRPr="00275BAF" w:rsidRDefault="00032B88" w:rsidP="00032B88">
      <w:pPr>
        <w:spacing w:before="120"/>
        <w:ind w:firstLine="720"/>
        <w:jc w:val="both"/>
        <w:rPr>
          <w:color w:val="000000"/>
        </w:rPr>
      </w:pPr>
      <w:r w:rsidRPr="00275BAF">
        <w:rPr>
          <w:color w:val="000000"/>
        </w:rPr>
        <w:t>- Q: Lưu lượng của dòng khí chuyển động trong vùng đốt thứ cấp (m</w:t>
      </w:r>
      <w:r w:rsidRPr="00275BAF">
        <w:rPr>
          <w:color w:val="000000"/>
          <w:vertAlign w:val="superscript"/>
        </w:rPr>
        <w:t>3</w:t>
      </w:r>
      <w:r w:rsidRPr="00275BAF">
        <w:rPr>
          <w:color w:val="000000"/>
        </w:rPr>
        <w:t>/s). Lưu lượng Q có thể được tính toán ngoại suy dựa trên lưu lượng của dòng khí thải đo tại điểm lấy mẫu trên ống khói hoặc căn cứ vào lưu lượng của quạt hút sau vùng đốt thứ cấp.</w:t>
      </w:r>
    </w:p>
    <w:p w:rsidR="00032B88" w:rsidRPr="00275BAF" w:rsidRDefault="00032B88" w:rsidP="00032B88">
      <w:pPr>
        <w:pStyle w:val="n-chuongten"/>
        <w:rPr>
          <w:rFonts w:ascii="Times New Roman" w:hAnsi="Times New Roman" w:cs="Times New Roman"/>
        </w:rPr>
      </w:pPr>
    </w:p>
    <w:p w:rsidR="002E4BE4" w:rsidRPr="00275BAF" w:rsidRDefault="0000396F">
      <w:pPr>
        <w:rPr>
          <w:sz w:val="2"/>
        </w:rPr>
      </w:pPr>
    </w:p>
    <w:sectPr w:rsidR="002E4BE4" w:rsidRPr="00275BAF" w:rsidSect="00A25346">
      <w:headerReference w:type="even" r:id="rId23"/>
      <w:headerReference w:type="default" r:id="rId24"/>
      <w:footerReference w:type="even" r:id="rId25"/>
      <w:footerReference w:type="default" r:id="rId26"/>
      <w:pgSz w:w="11907" w:h="16840" w:code="9"/>
      <w:pgMar w:top="1077" w:right="1134" w:bottom="1134" w:left="1701" w:header="680"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0396F">
      <w:r>
        <w:separator/>
      </w:r>
    </w:p>
  </w:endnote>
  <w:endnote w:type="continuationSeparator" w:id="0">
    <w:p w:rsidR="00000000" w:rsidRDefault="0000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81" w:rsidRPr="00F027FB" w:rsidRDefault="00275BAF" w:rsidP="00F027FB">
    <w:pPr>
      <w:pStyle w:val="Footer"/>
      <w:jc w:val="center"/>
      <w:rPr>
        <w:rFonts w:ascii="Arial" w:hAnsi="Arial" w:cs="Arial"/>
      </w:rPr>
    </w:pPr>
    <w:r w:rsidRPr="00F027FB">
      <w:rPr>
        <w:rFonts w:ascii="Arial" w:hAnsi="Arial" w:cs="Arial"/>
      </w:rPr>
      <w:fldChar w:fldCharType="begin"/>
    </w:r>
    <w:r w:rsidRPr="00F027FB">
      <w:rPr>
        <w:rFonts w:ascii="Arial" w:hAnsi="Arial" w:cs="Arial"/>
      </w:rPr>
      <w:instrText xml:space="preserve"> PAGE   \* MERGEFORMAT </w:instrText>
    </w:r>
    <w:r w:rsidRPr="00F027FB">
      <w:rPr>
        <w:rFonts w:ascii="Arial" w:hAnsi="Arial" w:cs="Arial"/>
      </w:rPr>
      <w:fldChar w:fldCharType="separate"/>
    </w:r>
    <w:r>
      <w:rPr>
        <w:rFonts w:ascii="Arial" w:hAnsi="Arial" w:cs="Arial"/>
        <w:noProof/>
      </w:rPr>
      <w:t>8</w:t>
    </w:r>
    <w:r w:rsidRPr="00F027FB">
      <w:rPr>
        <w:rFonts w:ascii="Arial" w:hAnsi="Arial" w:cs="Arial"/>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81" w:rsidRPr="00182125" w:rsidRDefault="00275BAF" w:rsidP="00182125">
    <w:pPr>
      <w:pStyle w:val="Footer"/>
      <w:jc w:val="center"/>
      <w:rPr>
        <w:rFonts w:ascii="Arial" w:hAnsi="Arial" w:cs="Arial"/>
        <w:lang w:val="vi-VN"/>
      </w:rPr>
    </w:pPr>
    <w:r w:rsidRPr="00182125">
      <w:rPr>
        <w:rFonts w:ascii="Arial" w:hAnsi="Arial" w:cs="Arial"/>
      </w:rPr>
      <w:fldChar w:fldCharType="begin"/>
    </w:r>
    <w:r w:rsidRPr="00182125">
      <w:rPr>
        <w:rFonts w:ascii="Arial" w:hAnsi="Arial" w:cs="Arial"/>
      </w:rPr>
      <w:instrText xml:space="preserve"> PAGE   \* MERGEFORMAT </w:instrText>
    </w:r>
    <w:r w:rsidRPr="00182125">
      <w:rPr>
        <w:rFonts w:ascii="Arial" w:hAnsi="Arial" w:cs="Arial"/>
      </w:rPr>
      <w:fldChar w:fldCharType="separate"/>
    </w:r>
    <w:r w:rsidR="0000396F">
      <w:rPr>
        <w:rFonts w:ascii="Arial" w:hAnsi="Arial" w:cs="Arial"/>
        <w:noProof/>
      </w:rPr>
      <w:t>2</w:t>
    </w:r>
    <w:r w:rsidRPr="00182125">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0396F">
      <w:r>
        <w:separator/>
      </w:r>
    </w:p>
  </w:footnote>
  <w:footnote w:type="continuationSeparator" w:id="0">
    <w:p w:rsidR="00000000" w:rsidRDefault="00003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81" w:rsidRDefault="00275BAF">
    <w:pPr>
      <w:pStyle w:val="Header"/>
    </w:pPr>
    <w:r>
      <w:rPr>
        <w:rFonts w:ascii="Arial" w:hAnsi="Arial" w:cs="Arial"/>
        <w:b/>
        <w:sz w:val="24"/>
        <w:szCs w:val="24"/>
      </w:rPr>
      <w:t>QCVN 61-MT:2016/BTNMT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81" w:rsidRDefault="00275BAF">
    <w:pPr>
      <w:pStyle w:val="Header"/>
      <w:jc w:val="right"/>
    </w:pPr>
    <w:r>
      <w:rPr>
        <w:rFonts w:ascii="Arial" w:hAnsi="Arial" w:cs="Arial"/>
        <w:b/>
        <w:sz w:val="24"/>
        <w:szCs w:val="24"/>
      </w:rPr>
      <w:t>QCVN 61-MT:2016/BTNMT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47"/>
    <w:rsid w:val="0000396F"/>
    <w:rsid w:val="00032B88"/>
    <w:rsid w:val="00044199"/>
    <w:rsid w:val="0009119C"/>
    <w:rsid w:val="00094385"/>
    <w:rsid w:val="00275BAF"/>
    <w:rsid w:val="002E4441"/>
    <w:rsid w:val="00374EF3"/>
    <w:rsid w:val="00384617"/>
    <w:rsid w:val="003E754A"/>
    <w:rsid w:val="004504B4"/>
    <w:rsid w:val="004768D3"/>
    <w:rsid w:val="004C7F9C"/>
    <w:rsid w:val="004F5DBC"/>
    <w:rsid w:val="0051650D"/>
    <w:rsid w:val="006D0FC7"/>
    <w:rsid w:val="006F60C1"/>
    <w:rsid w:val="00751336"/>
    <w:rsid w:val="007F6031"/>
    <w:rsid w:val="008D790C"/>
    <w:rsid w:val="008E0977"/>
    <w:rsid w:val="008E3A9D"/>
    <w:rsid w:val="00965A55"/>
    <w:rsid w:val="00A43E22"/>
    <w:rsid w:val="00AE7004"/>
    <w:rsid w:val="00B0451A"/>
    <w:rsid w:val="00B15373"/>
    <w:rsid w:val="00B34E67"/>
    <w:rsid w:val="00B6484F"/>
    <w:rsid w:val="00BB4A47"/>
    <w:rsid w:val="00CB2A98"/>
    <w:rsid w:val="00D460C6"/>
    <w:rsid w:val="00D51CCC"/>
    <w:rsid w:val="00D71222"/>
    <w:rsid w:val="00DC3CCF"/>
    <w:rsid w:val="00DD5505"/>
    <w:rsid w:val="00F06F90"/>
    <w:rsid w:val="00F55F11"/>
    <w:rsid w:val="00FF4B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8F95B831-1504-4EF2-9572-4717A61F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before="120" w:after="120" w:line="320" w:lineRule="atLeast"/>
        <w:ind w:firstLine="7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336"/>
    <w:pPr>
      <w:spacing w:before="0" w:after="0" w:line="240" w:lineRule="auto"/>
      <w:ind w:firstLine="0"/>
    </w:pPr>
    <w:rPr>
      <w:rFonts w:eastAsia="Times New Roman" w:cs="Times New Roman"/>
      <w:sz w:val="24"/>
      <w:szCs w:val="24"/>
      <w:lang w:eastAsia="vi-VN"/>
    </w:rPr>
  </w:style>
  <w:style w:type="paragraph" w:styleId="Heading1">
    <w:name w:val="heading 1"/>
    <w:basedOn w:val="Normal"/>
    <w:next w:val="Normal"/>
    <w:link w:val="Heading1Char"/>
    <w:uiPriority w:val="9"/>
    <w:qFormat/>
    <w:rsid w:val="00032B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032B88"/>
    <w:pPr>
      <w:keepNext/>
      <w:jc w:val="center"/>
      <w:outlineLvl w:val="4"/>
    </w:pPr>
    <w:rPr>
      <w:rFonts w:ascii=".VnTime" w:hAnsi=".VnTime"/>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32B88"/>
    <w:rPr>
      <w:rFonts w:ascii=".VnTime" w:eastAsia="Times New Roman" w:hAnsi=".VnTime" w:cs="Times New Roman"/>
      <w:b/>
      <w:szCs w:val="20"/>
      <w:lang w:val="en-US"/>
    </w:rPr>
  </w:style>
  <w:style w:type="paragraph" w:styleId="BodyText3">
    <w:name w:val="Body Text 3"/>
    <w:basedOn w:val="Normal"/>
    <w:link w:val="BodyText3Char"/>
    <w:rsid w:val="00032B88"/>
    <w:pPr>
      <w:jc w:val="center"/>
    </w:pPr>
    <w:rPr>
      <w:rFonts w:ascii=".VnTime" w:hAnsi=".VnTime"/>
      <w:i/>
      <w:sz w:val="28"/>
      <w:szCs w:val="20"/>
      <w:lang w:val="en-US" w:eastAsia="en-US"/>
    </w:rPr>
  </w:style>
  <w:style w:type="character" w:customStyle="1" w:styleId="BodyText3Char">
    <w:name w:val="Body Text 3 Char"/>
    <w:basedOn w:val="DefaultParagraphFont"/>
    <w:link w:val="BodyText3"/>
    <w:rsid w:val="00032B88"/>
    <w:rPr>
      <w:rFonts w:ascii=".VnTime" w:eastAsia="Times New Roman" w:hAnsi=".VnTime" w:cs="Times New Roman"/>
      <w:i/>
      <w:szCs w:val="20"/>
      <w:lang w:val="en-US"/>
    </w:rPr>
  </w:style>
  <w:style w:type="paragraph" w:styleId="Footer">
    <w:name w:val="footer"/>
    <w:basedOn w:val="Normal"/>
    <w:link w:val="FooterChar"/>
    <w:uiPriority w:val="99"/>
    <w:rsid w:val="00032B88"/>
    <w:pPr>
      <w:tabs>
        <w:tab w:val="center" w:pos="4320"/>
        <w:tab w:val="right" w:pos="8640"/>
      </w:tabs>
    </w:pPr>
    <w:rPr>
      <w:rFonts w:ascii=".VnTime" w:hAnsi=".VnTime"/>
      <w:sz w:val="26"/>
      <w:szCs w:val="20"/>
      <w:lang w:val="en-US" w:eastAsia="en-US"/>
    </w:rPr>
  </w:style>
  <w:style w:type="character" w:customStyle="1" w:styleId="FooterChar">
    <w:name w:val="Footer Char"/>
    <w:basedOn w:val="DefaultParagraphFont"/>
    <w:link w:val="Footer"/>
    <w:uiPriority w:val="99"/>
    <w:rsid w:val="00032B88"/>
    <w:rPr>
      <w:rFonts w:ascii=".VnTime" w:eastAsia="Times New Roman" w:hAnsi=".VnTime" w:cs="Times New Roman"/>
      <w:sz w:val="26"/>
      <w:szCs w:val="20"/>
      <w:lang w:val="en-US"/>
    </w:rPr>
  </w:style>
  <w:style w:type="paragraph" w:styleId="BodyTextIndent3">
    <w:name w:val="Body Text Indent 3"/>
    <w:basedOn w:val="Normal"/>
    <w:link w:val="BodyTextIndent3Char"/>
    <w:rsid w:val="00032B88"/>
    <w:pPr>
      <w:spacing w:before="80" w:after="60"/>
      <w:ind w:firstLine="720"/>
      <w:jc w:val="both"/>
    </w:pPr>
    <w:rPr>
      <w:rFonts w:ascii=".VnTime" w:hAnsi=".VnTime"/>
      <w:sz w:val="28"/>
      <w:szCs w:val="28"/>
      <w:lang w:val="en-US" w:eastAsia="en-US"/>
    </w:rPr>
  </w:style>
  <w:style w:type="character" w:customStyle="1" w:styleId="BodyTextIndent3Char">
    <w:name w:val="Body Text Indent 3 Char"/>
    <w:basedOn w:val="DefaultParagraphFont"/>
    <w:link w:val="BodyTextIndent3"/>
    <w:rsid w:val="00032B88"/>
    <w:rPr>
      <w:rFonts w:ascii=".VnTime" w:eastAsia="Times New Roman" w:hAnsi=".VnTime" w:cs="Times New Roman"/>
      <w:szCs w:val="28"/>
      <w:lang w:val="en-US"/>
    </w:rPr>
  </w:style>
  <w:style w:type="paragraph" w:customStyle="1" w:styleId="n-chuongten">
    <w:name w:val="n-chuongten"/>
    <w:basedOn w:val="Normal"/>
    <w:autoRedefine/>
    <w:rsid w:val="00032B88"/>
    <w:pPr>
      <w:spacing w:before="120" w:after="120" w:line="400" w:lineRule="exact"/>
      <w:jc w:val="center"/>
    </w:pPr>
    <w:rPr>
      <w:rFonts w:ascii="Arial" w:hAnsi="Arial" w:cs="Arial"/>
      <w:b/>
      <w:sz w:val="28"/>
      <w:lang w:val="it-IT" w:eastAsia="en-US"/>
    </w:rPr>
  </w:style>
  <w:style w:type="paragraph" w:customStyle="1" w:styleId="ndieund">
    <w:name w:val="ndieund"/>
    <w:basedOn w:val="Normal"/>
    <w:rsid w:val="00032B88"/>
    <w:pPr>
      <w:spacing w:after="120"/>
      <w:ind w:firstLine="720"/>
      <w:jc w:val="both"/>
    </w:pPr>
    <w:rPr>
      <w:rFonts w:ascii=".VnTime" w:hAnsi=".VnTime"/>
      <w:sz w:val="28"/>
      <w:lang w:val="en-US" w:eastAsia="en-US"/>
    </w:rPr>
  </w:style>
  <w:style w:type="paragraph" w:customStyle="1" w:styleId="HANOI-O">
    <w:name w:val="HANOI-O"/>
    <w:basedOn w:val="Heading1"/>
    <w:rsid w:val="00032B88"/>
    <w:pPr>
      <w:keepNext w:val="0"/>
      <w:keepLines w:val="0"/>
      <w:spacing w:before="0" w:line="360" w:lineRule="auto"/>
      <w:jc w:val="center"/>
    </w:pPr>
    <w:rPr>
      <w:rFonts w:ascii=".VnArialH" w:eastAsia="Times New Roman" w:hAnsi=".VnArialH" w:cs="Times New Roman"/>
      <w:bCs w:val="0"/>
      <w:color w:val="auto"/>
      <w:spacing w:val="5"/>
      <w:kern w:val="28"/>
      <w:sz w:val="24"/>
      <w:szCs w:val="20"/>
      <w:lang w:val="en-US" w:eastAsia="en-US"/>
    </w:rPr>
  </w:style>
  <w:style w:type="paragraph" w:styleId="Header">
    <w:name w:val="header"/>
    <w:basedOn w:val="Normal"/>
    <w:link w:val="HeaderChar"/>
    <w:rsid w:val="00032B88"/>
    <w:pPr>
      <w:tabs>
        <w:tab w:val="center" w:pos="4320"/>
        <w:tab w:val="right" w:pos="8640"/>
      </w:tabs>
    </w:pPr>
    <w:rPr>
      <w:rFonts w:ascii=".VnTime" w:hAnsi=".VnTime"/>
      <w:sz w:val="28"/>
      <w:szCs w:val="28"/>
      <w:lang w:val="en-US" w:eastAsia="en-US"/>
    </w:rPr>
  </w:style>
  <w:style w:type="character" w:customStyle="1" w:styleId="HeaderChar">
    <w:name w:val="Header Char"/>
    <w:basedOn w:val="DefaultParagraphFont"/>
    <w:link w:val="Header"/>
    <w:rsid w:val="00032B88"/>
    <w:rPr>
      <w:rFonts w:ascii=".VnTime" w:eastAsia="Times New Roman" w:hAnsi=".VnTime" w:cs="Times New Roman"/>
      <w:szCs w:val="28"/>
      <w:lang w:val="en-US"/>
    </w:rPr>
  </w:style>
  <w:style w:type="character" w:customStyle="1" w:styleId="Heading1Char">
    <w:name w:val="Heading 1 Char"/>
    <w:basedOn w:val="DefaultParagraphFont"/>
    <w:link w:val="Heading1"/>
    <w:uiPriority w:val="9"/>
    <w:rsid w:val="00032B88"/>
    <w:rPr>
      <w:rFonts w:asciiTheme="majorHAnsi" w:eastAsiaTheme="majorEastAsia" w:hAnsiTheme="majorHAnsi" w:cstheme="majorBidi"/>
      <w:b/>
      <w:bCs/>
      <w:color w:val="365F91" w:themeColor="accent1" w:themeShade="BF"/>
      <w:szCs w:val="28"/>
      <w:lang w:eastAsia="vi-VN"/>
    </w:rPr>
  </w:style>
  <w:style w:type="paragraph" w:styleId="BalloonText">
    <w:name w:val="Balloon Text"/>
    <w:basedOn w:val="Normal"/>
    <w:link w:val="BalloonTextChar"/>
    <w:uiPriority w:val="99"/>
    <w:semiHidden/>
    <w:unhideWhenUsed/>
    <w:rsid w:val="00032B88"/>
    <w:rPr>
      <w:rFonts w:ascii="Tahoma" w:hAnsi="Tahoma" w:cs="Tahoma"/>
      <w:sz w:val="16"/>
      <w:szCs w:val="16"/>
    </w:rPr>
  </w:style>
  <w:style w:type="character" w:customStyle="1" w:styleId="BalloonTextChar">
    <w:name w:val="Balloon Text Char"/>
    <w:basedOn w:val="DefaultParagraphFont"/>
    <w:link w:val="BalloonText"/>
    <w:uiPriority w:val="99"/>
    <w:semiHidden/>
    <w:rsid w:val="00032B88"/>
    <w:rPr>
      <w:rFonts w:ascii="Tahoma" w:eastAsia="Times New Roman"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EE3DD52E70E44B198C12345DFDE8C" ma:contentTypeVersion="3" ma:contentTypeDescription="Create a new document." ma:contentTypeScope="" ma:versionID="1e939f6403bfa1cf0e9e2241405ddfb4">
  <xsd:schema xmlns:xsd="http://www.w3.org/2001/XMLSchema" xmlns:xs="http://www.w3.org/2001/XMLSchema" xmlns:p="http://schemas.microsoft.com/office/2006/metadata/properties" xmlns:ns1="http://schemas.microsoft.com/sharepoint/v3" xmlns:ns2="7d796369-9563-477b-bdce-f0a1166b7005" targetNamespace="http://schemas.microsoft.com/office/2006/metadata/properties" ma:root="true" ma:fieldsID="742e86d49a13f65b31bdc2d17924f179" ns1:_="" ns2:_="">
    <xsd:import namespace="http://schemas.microsoft.com/sharepoint/v3"/>
    <xsd:import namespace="7d796369-9563-477b-bdce-f0a1166b700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796369-9563-477b-bdce-f0a1166b700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d796369-9563-477b-bdce-f0a1166b7005">NNTY4WN74AFQ-598-485</_dlc_DocId>
    <_dlc_DocIdUrl xmlns="7d796369-9563-477b-bdce-f0a1166b7005">
      <Url>http://vea.gov.vn/vn/vanbanphapquy/tintucvbqppl/_layouts/DocIdRedir.aspx?ID=NNTY4WN74AFQ-598-485</Url>
      <Description>NNTY4WN74AFQ-598-485</Description>
    </_dlc_DocIdUrl>
  </documentManagement>
</p:properties>
</file>

<file path=customXml/itemProps1.xml><?xml version="1.0" encoding="utf-8"?>
<ds:datastoreItem xmlns:ds="http://schemas.openxmlformats.org/officeDocument/2006/customXml" ds:itemID="{A6C1DA80-AECA-4862-8E99-BF4835937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796369-9563-477b-bdce-f0a1166b7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E5CC2-9B3F-4E41-933E-EE54E3301A5B}">
  <ds:schemaRefs>
    <ds:schemaRef ds:uri="http://schemas.microsoft.com/sharepoint/events"/>
  </ds:schemaRefs>
</ds:datastoreItem>
</file>

<file path=customXml/itemProps3.xml><?xml version="1.0" encoding="utf-8"?>
<ds:datastoreItem xmlns:ds="http://schemas.openxmlformats.org/officeDocument/2006/customXml" ds:itemID="{E5C123B3-5A35-4970-B45F-FF10803E2E58}">
  <ds:schemaRefs>
    <ds:schemaRef ds:uri="http://schemas.microsoft.com/sharepoint/v3/contenttype/forms"/>
  </ds:schemaRefs>
</ds:datastoreItem>
</file>

<file path=customXml/itemProps4.xml><?xml version="1.0" encoding="utf-8"?>
<ds:datastoreItem xmlns:ds="http://schemas.openxmlformats.org/officeDocument/2006/customXml" ds:itemID="{E2336955-36EE-460C-9B5D-C1294AFF93FE}">
  <ds:schemaRefs>
    <ds:schemaRef ds:uri="http://schemas.microsoft.com/office/2006/metadata/properties"/>
    <ds:schemaRef ds:uri="http://schemas.microsoft.com/office/infopath/2007/PartnerControls"/>
    <ds:schemaRef ds:uri="http://schemas.microsoft.com/sharepoint/v3"/>
    <ds:schemaRef ds:uri="7d796369-9563-477b-bdce-f0a1166b70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WENID</Company>
  <LinksUpToDate>false</LinksUpToDate>
  <CharactersWithSpaces>17426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cocohoai</dc:creator>
  <cp:lastModifiedBy>A</cp:lastModifiedBy>
  <cp:revision>3</cp:revision>
  <cp:lastPrinted>2015-10-01T03:22:00Z</cp:lastPrinted>
  <dcterms:created xsi:type="dcterms:W3CDTF">2016-03-18T02:51:00Z</dcterms:created>
  <dcterms:modified xsi:type="dcterms:W3CDTF">2016-03-18T02:51:00Z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0x010100E6CEE3DD52E70E44B198C12345DFDE8C</vt:lpwstr>
  </property>
  <property fmtid="{D5CDD505-2E9C-101B-9397-08002B2CF9AE}" pid="3" name="_dlc_DocIdItemGuid">
    <vt:lpwstr>cf0de173-f1ee-4492-bb9a-f6129536dd56</vt:lpwstr>
  </property>
</Properties>
</file>